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ECF7" w14:textId="1F7B4FD2" w:rsidR="00986AE8" w:rsidRPr="001D0404" w:rsidRDefault="00FC7595" w:rsidP="001D0404">
      <w:pPr>
        <w:pStyle w:val="Title"/>
        <w:jc w:val="left"/>
        <w:rPr>
          <w:caps w:val="0"/>
        </w:rPr>
      </w:pPr>
      <w:r>
        <w:rPr>
          <w:caps w:val="0"/>
        </w:rPr>
        <w:t xml:space="preserve">SCP Universal Vessel Fatigue Assessment and Validation </w:t>
      </w:r>
    </w:p>
    <w:p w14:paraId="162B2A93" w14:textId="07E9641A" w:rsidR="00313D13" w:rsidRDefault="000707E1" w:rsidP="00722BA4">
      <w:pPr>
        <w:jc w:val="right"/>
      </w:pPr>
      <w:r w:rsidRPr="00267461">
        <w:br/>
      </w:r>
      <w:r w:rsidR="00FC7595">
        <w:t>Mr Richard Neely</w:t>
      </w:r>
      <w:r w:rsidR="00D76AB0">
        <w:t xml:space="preserve"> and </w:t>
      </w:r>
      <w:r w:rsidR="00FC7595">
        <w:t>Dr Dax Sun</w:t>
      </w:r>
      <w:r w:rsidRPr="00267461">
        <w:t xml:space="preserve"> </w:t>
      </w:r>
      <w:r w:rsidR="00722BA4">
        <w:br/>
      </w:r>
      <w:r w:rsidRPr="001D0404">
        <w:rPr>
          <w:i/>
        </w:rPr>
        <w:t>(</w:t>
      </w:r>
      <w:r w:rsidR="00FC7595">
        <w:rPr>
          <w:i/>
        </w:rPr>
        <w:t>Sellafield Ltd, UK</w:t>
      </w:r>
      <w:r w:rsidR="00722BA4" w:rsidRPr="001D0404">
        <w:rPr>
          <w:i/>
        </w:rPr>
        <w:t>)</w:t>
      </w:r>
    </w:p>
    <w:p w14:paraId="110D110A" w14:textId="54823F32" w:rsidR="00F65D87" w:rsidRDefault="00F65D87" w:rsidP="00722BA4">
      <w:pPr>
        <w:jc w:val="right"/>
      </w:pPr>
    </w:p>
    <w:p w14:paraId="3D535E20" w14:textId="77777777" w:rsidR="00313D13" w:rsidRPr="001D0404" w:rsidRDefault="001D0404" w:rsidP="00313D13">
      <w:pPr>
        <w:pStyle w:val="Author"/>
        <w:rPr>
          <w:rStyle w:val="Strong"/>
        </w:rPr>
      </w:pPr>
      <w:r w:rsidRPr="001D0404">
        <w:rPr>
          <w:rStyle w:val="Strong"/>
        </w:rPr>
        <w:t>Abstract</w:t>
      </w:r>
    </w:p>
    <w:p w14:paraId="34EA3B56" w14:textId="77777777" w:rsidR="00D3769F" w:rsidRDefault="00FC7595" w:rsidP="00D3769F">
      <w:pPr>
        <w:rPr>
          <w:color w:val="000000"/>
        </w:rPr>
      </w:pPr>
      <w:r w:rsidRPr="00FC7595">
        <w:rPr>
          <w:color w:val="000000"/>
        </w:rPr>
        <w:t>The SCP U</w:t>
      </w:r>
      <w:r w:rsidR="00127F21">
        <w:rPr>
          <w:color w:val="000000"/>
        </w:rPr>
        <w:t xml:space="preserve">niversal </w:t>
      </w:r>
      <w:r w:rsidRPr="00FC7595">
        <w:rPr>
          <w:color w:val="000000"/>
        </w:rPr>
        <w:t>V</w:t>
      </w:r>
      <w:r w:rsidR="00127F21">
        <w:rPr>
          <w:color w:val="000000"/>
        </w:rPr>
        <w:t>essel (UV)</w:t>
      </w:r>
      <w:r w:rsidRPr="00FC7595">
        <w:rPr>
          <w:color w:val="000000"/>
        </w:rPr>
        <w:t xml:space="preserve"> is a universal ion exchange vessel currently being manufactured to filter effluent on </w:t>
      </w:r>
      <w:r w:rsidR="00280036">
        <w:rPr>
          <w:color w:val="000000"/>
        </w:rPr>
        <w:t xml:space="preserve">the Sellafield </w:t>
      </w:r>
      <w:r w:rsidRPr="00FC7595">
        <w:rPr>
          <w:color w:val="000000"/>
        </w:rPr>
        <w:t xml:space="preserve">site. </w:t>
      </w:r>
      <w:r w:rsidR="00D3769F" w:rsidRPr="00FC7595">
        <w:rPr>
          <w:color w:val="000000"/>
        </w:rPr>
        <w:t xml:space="preserve">The </w:t>
      </w:r>
      <w:r w:rsidR="00D3769F">
        <w:rPr>
          <w:color w:val="000000"/>
        </w:rPr>
        <w:t>UV</w:t>
      </w:r>
      <w:r w:rsidR="00D3769F" w:rsidRPr="00FC7595">
        <w:rPr>
          <w:color w:val="000000"/>
        </w:rPr>
        <w:t xml:space="preserve"> has an internal 3m long discharge pipe suspended form the top of the vessel braced</w:t>
      </w:r>
      <w:r w:rsidR="00D3769F">
        <w:rPr>
          <w:color w:val="000000"/>
        </w:rPr>
        <w:t xml:space="preserve"> </w:t>
      </w:r>
      <w:r w:rsidR="00D3769F" w:rsidRPr="00FC7595">
        <w:rPr>
          <w:color w:val="000000"/>
        </w:rPr>
        <w:t>approximately halfway down its length by two support pipes.</w:t>
      </w:r>
      <w:r w:rsidR="00D3769F">
        <w:rPr>
          <w:color w:val="000000"/>
        </w:rPr>
        <w:t xml:space="preserve"> </w:t>
      </w:r>
      <w:r w:rsidR="00D3769F" w:rsidRPr="00FC7595">
        <w:rPr>
          <w:color w:val="000000"/>
        </w:rPr>
        <w:t xml:space="preserve">A test rig was set up for two UV's, each ran through a full program of functional tests. </w:t>
      </w:r>
      <w:r w:rsidR="00D3769F">
        <w:rPr>
          <w:color w:val="000000"/>
        </w:rPr>
        <w:t>S</w:t>
      </w:r>
      <w:r w:rsidR="00D3769F" w:rsidRPr="00FC7595">
        <w:rPr>
          <w:color w:val="000000"/>
        </w:rPr>
        <w:t>train gauges and accelerometers were placed on the discharge pipe of each UV to understand the behaviour of the pipe in response to the various loading scenarios applied during the operations.</w:t>
      </w:r>
    </w:p>
    <w:p w14:paraId="6A89F33D" w14:textId="1113AA35" w:rsidR="00D3769F" w:rsidRPr="00681250" w:rsidRDefault="0076392C" w:rsidP="00D3769F">
      <w:pPr>
        <w:rPr>
          <w:color w:val="000000"/>
        </w:rPr>
      </w:pPr>
      <w:r>
        <w:rPr>
          <w:color w:val="000000"/>
        </w:rPr>
        <w:t xml:space="preserve">This </w:t>
      </w:r>
      <w:r w:rsidR="00127F21">
        <w:rPr>
          <w:color w:val="000000"/>
        </w:rPr>
        <w:t xml:space="preserve">presentation </w:t>
      </w:r>
      <w:r w:rsidR="00681250">
        <w:rPr>
          <w:color w:val="000000"/>
        </w:rPr>
        <w:t>aims to share the</w:t>
      </w:r>
      <w:r w:rsidR="00352603">
        <w:rPr>
          <w:color w:val="000000"/>
        </w:rPr>
        <w:t xml:space="preserve"> learning gained</w:t>
      </w:r>
      <w:r w:rsidR="00681250">
        <w:rPr>
          <w:color w:val="000000"/>
        </w:rPr>
        <w:t xml:space="preserve"> from</w:t>
      </w:r>
      <w:r w:rsidR="00127F21">
        <w:rPr>
          <w:color w:val="000000"/>
        </w:rPr>
        <w:t xml:space="preserve"> the structural design </w:t>
      </w:r>
      <w:r w:rsidR="00681250">
        <w:rPr>
          <w:color w:val="000000"/>
        </w:rPr>
        <w:t xml:space="preserve">work carried out for </w:t>
      </w:r>
      <w:r w:rsidR="00127F21">
        <w:rPr>
          <w:color w:val="000000"/>
        </w:rPr>
        <w:t>the SCP</w:t>
      </w:r>
      <w:r w:rsidR="00280036">
        <w:rPr>
          <w:color w:val="000000"/>
        </w:rPr>
        <w:t> </w:t>
      </w:r>
      <w:r w:rsidR="00127F21">
        <w:rPr>
          <w:color w:val="000000"/>
        </w:rPr>
        <w:t>UV</w:t>
      </w:r>
      <w:r w:rsidR="00681250">
        <w:rPr>
          <w:color w:val="000000"/>
        </w:rPr>
        <w:t xml:space="preserve"> fatigue substantiation</w:t>
      </w:r>
      <w:r w:rsidR="00127F21">
        <w:rPr>
          <w:color w:val="000000"/>
        </w:rPr>
        <w:t>.</w:t>
      </w:r>
      <w:r w:rsidR="00D3769F" w:rsidRPr="00D3769F">
        <w:rPr>
          <w:color w:val="000000"/>
        </w:rPr>
        <w:t xml:space="preserve"> </w:t>
      </w:r>
      <w:r w:rsidR="00681250">
        <w:rPr>
          <w:color w:val="000000"/>
        </w:rPr>
        <w:t>In summary, t</w:t>
      </w:r>
      <w:r w:rsidR="00681250" w:rsidRPr="00FC7595">
        <w:rPr>
          <w:color w:val="000000"/>
        </w:rPr>
        <w:t>he</w:t>
      </w:r>
      <w:r w:rsidR="00681250">
        <w:rPr>
          <w:color w:val="000000"/>
        </w:rPr>
        <w:t xml:space="preserve"> </w:t>
      </w:r>
      <w:r w:rsidR="00681250" w:rsidRPr="00FC7595">
        <w:rPr>
          <w:color w:val="000000"/>
        </w:rPr>
        <w:t xml:space="preserve">instrumentation output </w:t>
      </w:r>
      <w:r w:rsidR="00352603">
        <w:rPr>
          <w:color w:val="000000"/>
        </w:rPr>
        <w:t xml:space="preserve">from testing </w:t>
      </w:r>
      <w:r w:rsidR="00681250" w:rsidRPr="00FC7595">
        <w:rPr>
          <w:color w:val="000000"/>
        </w:rPr>
        <w:t>was processed and used as input into a harmonic response FE model</w:t>
      </w:r>
      <w:r w:rsidR="00352603">
        <w:rPr>
          <w:color w:val="000000"/>
        </w:rPr>
        <w:t>,</w:t>
      </w:r>
      <w:r w:rsidR="00681250" w:rsidRPr="00FC7595">
        <w:rPr>
          <w:color w:val="000000"/>
        </w:rPr>
        <w:t xml:space="preserve"> where the modal responses were combined allowing stress ranges to be determined for evaluation in a fatigue assessment to PD5500.</w:t>
      </w:r>
      <w:r w:rsidR="00681250">
        <w:rPr>
          <w:color w:val="000000"/>
        </w:rPr>
        <w:t xml:space="preserve"> The trial t</w:t>
      </w:r>
      <w:r w:rsidR="00D3769F" w:rsidRPr="00FC7595">
        <w:rPr>
          <w:color w:val="000000"/>
        </w:rPr>
        <w:t xml:space="preserve">est results showed the discharge pipe was being excited at several natural frequencies. The </w:t>
      </w:r>
      <w:r w:rsidR="00681250">
        <w:rPr>
          <w:color w:val="000000"/>
        </w:rPr>
        <w:t xml:space="preserve">FE </w:t>
      </w:r>
      <w:r w:rsidR="00D3769F" w:rsidRPr="00FC7595">
        <w:rPr>
          <w:color w:val="000000"/>
        </w:rPr>
        <w:t xml:space="preserve">assessment showed that the UV design </w:t>
      </w:r>
      <w:r w:rsidR="00D3769F">
        <w:rPr>
          <w:lang w:eastAsia="en-GB"/>
        </w:rPr>
        <w:t>fatigue performance on a functionally critical vessel component was acceptable for a 50</w:t>
      </w:r>
      <w:r w:rsidR="00D3769F">
        <w:rPr>
          <w:lang w:eastAsia="en-GB"/>
        </w:rPr>
        <w:t>-y</w:t>
      </w:r>
      <w:r w:rsidR="00D3769F">
        <w:rPr>
          <w:lang w:eastAsia="en-GB"/>
        </w:rPr>
        <w:t>ear operational life</w:t>
      </w:r>
      <w:r w:rsidR="00D3769F">
        <w:rPr>
          <w:color w:val="000000"/>
        </w:rPr>
        <w:t xml:space="preserve">. </w:t>
      </w:r>
    </w:p>
    <w:p w14:paraId="67BB60FD" w14:textId="76647C0E" w:rsidR="00C47BA5" w:rsidRDefault="00C47BA5" w:rsidP="00F90A3D">
      <w:pPr>
        <w:pStyle w:val="Heading1"/>
      </w:pPr>
      <w:r>
        <w:t>Introduction</w:t>
      </w:r>
    </w:p>
    <w:p w14:paraId="19F8DD3A" w14:textId="276CD3D4" w:rsidR="00F90A3D" w:rsidRDefault="00F90A3D" w:rsidP="00F90A3D">
      <w:pPr>
        <w:tabs>
          <w:tab w:val="clear" w:pos="567"/>
        </w:tabs>
        <w:autoSpaceDE w:val="0"/>
        <w:autoSpaceDN w:val="0"/>
        <w:adjustRightInd w:val="0"/>
        <w:spacing w:before="0" w:after="0"/>
        <w:jc w:val="center"/>
        <w:rPr>
          <w:lang w:eastAsia="en-GB"/>
        </w:rPr>
      </w:pPr>
      <w:r w:rsidRPr="00F90A3D">
        <w:rPr>
          <w:noProof/>
          <w:lang w:eastAsia="en-GB"/>
        </w:rPr>
        <w:drawing>
          <wp:inline distT="0" distB="0" distL="0" distR="0" wp14:anchorId="373071D9" wp14:editId="4AE27C70">
            <wp:extent cx="3348905" cy="265541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3043" cy="2674556"/>
                    </a:xfrm>
                    <a:prstGeom prst="rect">
                      <a:avLst/>
                    </a:prstGeom>
                    <a:noFill/>
                    <a:ln>
                      <a:noFill/>
                    </a:ln>
                  </pic:spPr>
                </pic:pic>
              </a:graphicData>
            </a:graphic>
          </wp:inline>
        </w:drawing>
      </w:r>
    </w:p>
    <w:p w14:paraId="1AF473F9" w14:textId="66D41C02" w:rsidR="00F90A3D" w:rsidRDefault="00F90A3D" w:rsidP="00F90A3D">
      <w:pPr>
        <w:pStyle w:val="Subtitle"/>
        <w:rPr>
          <w:rFonts w:ascii="CIDFont+F4" w:hAnsi="CIDFont+F4" w:cs="CIDFont+F4"/>
          <w:szCs w:val="20"/>
          <w:lang w:eastAsia="en-GB"/>
        </w:rPr>
      </w:pPr>
      <w:r>
        <w:rPr>
          <w:rFonts w:ascii="CIDFont+F4" w:hAnsi="CIDFont+F4" w:cs="CIDFont+F4"/>
          <w:szCs w:val="20"/>
          <w:lang w:eastAsia="en-GB"/>
        </w:rPr>
        <w:t>SCP UV General Design Detail</w:t>
      </w:r>
    </w:p>
    <w:p w14:paraId="258C34A6" w14:textId="11C049B1" w:rsidR="00F90A3D" w:rsidRDefault="00127F21" w:rsidP="00C47BA5">
      <w:pPr>
        <w:tabs>
          <w:tab w:val="clear" w:pos="567"/>
        </w:tabs>
        <w:autoSpaceDE w:val="0"/>
        <w:autoSpaceDN w:val="0"/>
        <w:adjustRightInd w:val="0"/>
        <w:spacing w:before="0" w:after="0"/>
        <w:rPr>
          <w:lang w:eastAsia="en-GB"/>
        </w:rPr>
      </w:pPr>
      <w:r w:rsidRPr="00127F21">
        <w:rPr>
          <w:lang w:eastAsia="en-GB"/>
        </w:rPr>
        <w:lastRenderedPageBreak/>
        <w:t xml:space="preserve">The Sellafield site effluent abatement prior to sea discharge is provided by the Site Ion Exchange Effluent Plant (SIXEP). The SIXEP Continuity Plant (SCP) is an extension of this facility currently being constructed that will provide the same service once SIXEP reaches the end of its operational life. The SCP Universal Vessel (UV) is a stainless steel universal ion exchange vessel that is designed to hold sand (for particulate) or clinoptilolite (for ion exchange) to filter effluent (Figure 1). The design is based on the original SIXEP UV design with several modifications to ensure a </w:t>
      </w:r>
      <w:r w:rsidR="00681250" w:rsidRPr="00127F21">
        <w:rPr>
          <w:lang w:eastAsia="en-GB"/>
        </w:rPr>
        <w:t>50-year</w:t>
      </w:r>
      <w:r w:rsidRPr="00127F21">
        <w:rPr>
          <w:lang w:eastAsia="en-GB"/>
        </w:rPr>
        <w:t xml:space="preserve"> operational life. Design changes include the alteration of supports for the filter medium discharge pipe. This pipe is essential to the operation of the UV as it allows the filter medium to be removed once saturated. The pipe is approximately 3m long, supported approximately halfway down its length by two support pipes (Figure 1).</w:t>
      </w:r>
    </w:p>
    <w:p w14:paraId="0F4C2209" w14:textId="77777777" w:rsidR="00127F21" w:rsidRDefault="00127F21" w:rsidP="00C47BA5">
      <w:pPr>
        <w:tabs>
          <w:tab w:val="clear" w:pos="567"/>
        </w:tabs>
        <w:autoSpaceDE w:val="0"/>
        <w:autoSpaceDN w:val="0"/>
        <w:adjustRightInd w:val="0"/>
        <w:spacing w:before="0" w:after="0"/>
        <w:rPr>
          <w:lang w:eastAsia="en-GB"/>
        </w:rPr>
      </w:pPr>
    </w:p>
    <w:p w14:paraId="5218E392" w14:textId="2637BB8E" w:rsidR="00C85559" w:rsidRDefault="00A72432" w:rsidP="00D76AB0">
      <w:pPr>
        <w:tabs>
          <w:tab w:val="clear" w:pos="567"/>
        </w:tabs>
        <w:autoSpaceDE w:val="0"/>
        <w:autoSpaceDN w:val="0"/>
        <w:adjustRightInd w:val="0"/>
        <w:spacing w:before="0" w:after="0"/>
        <w:rPr>
          <w:lang w:eastAsia="en-GB"/>
        </w:rPr>
      </w:pPr>
      <w:r w:rsidRPr="00A72432">
        <w:rPr>
          <w:lang w:eastAsia="en-GB"/>
        </w:rPr>
        <w:t>The operations to remove the filter medium are highly dynamic and energetic events designed to breakup</w:t>
      </w:r>
      <w:r w:rsidR="00E45250">
        <w:rPr>
          <w:lang w:eastAsia="en-GB"/>
        </w:rPr>
        <w:t xml:space="preserve"> and fluidise</w:t>
      </w:r>
      <w:r w:rsidRPr="00A72432">
        <w:rPr>
          <w:lang w:eastAsia="en-GB"/>
        </w:rPr>
        <w:t xml:space="preserve"> the compressed medi</w:t>
      </w:r>
      <w:r w:rsidR="0047519F">
        <w:rPr>
          <w:lang w:eastAsia="en-GB"/>
        </w:rPr>
        <w:t>um</w:t>
      </w:r>
      <w:r w:rsidRPr="00A72432">
        <w:rPr>
          <w:lang w:eastAsia="en-GB"/>
        </w:rPr>
        <w:t xml:space="preserve">. They </w:t>
      </w:r>
      <w:r w:rsidR="0047519F">
        <w:rPr>
          <w:lang w:eastAsia="en-GB"/>
        </w:rPr>
        <w:t>include</w:t>
      </w:r>
      <w:r w:rsidRPr="00A72432">
        <w:rPr>
          <w:lang w:eastAsia="en-GB"/>
        </w:rPr>
        <w:t xml:space="preserve"> directing a high velocity turbulent mixed phase (water and air) flow </w:t>
      </w:r>
      <w:r w:rsidR="0047519F">
        <w:rPr>
          <w:lang w:eastAsia="en-GB"/>
        </w:rPr>
        <w:t>into</w:t>
      </w:r>
      <w:r w:rsidRPr="00A72432">
        <w:rPr>
          <w:lang w:eastAsia="en-GB"/>
        </w:rPr>
        <w:t xml:space="preserve"> the</w:t>
      </w:r>
      <w:r w:rsidR="0047519F">
        <w:rPr>
          <w:lang w:eastAsia="en-GB"/>
        </w:rPr>
        <w:t xml:space="preserve"> pressurised</w:t>
      </w:r>
      <w:r w:rsidRPr="00A72432">
        <w:rPr>
          <w:lang w:eastAsia="en-GB"/>
        </w:rPr>
        <w:t xml:space="preserve"> UV and </w:t>
      </w:r>
      <w:r w:rsidR="0047519F">
        <w:rPr>
          <w:lang w:eastAsia="en-GB"/>
        </w:rPr>
        <w:t xml:space="preserve">through the </w:t>
      </w:r>
      <w:r w:rsidRPr="00A72432">
        <w:rPr>
          <w:lang w:eastAsia="en-GB"/>
        </w:rPr>
        <w:t>discharge pipe. Th</w:t>
      </w:r>
      <w:r w:rsidR="00494933">
        <w:rPr>
          <w:lang w:eastAsia="en-GB"/>
        </w:rPr>
        <w:t>ese</w:t>
      </w:r>
      <w:r w:rsidRPr="00A72432">
        <w:rPr>
          <w:lang w:eastAsia="en-GB"/>
        </w:rPr>
        <w:t xml:space="preserve"> </w:t>
      </w:r>
      <w:r w:rsidR="00494933">
        <w:rPr>
          <w:lang w:eastAsia="en-GB"/>
        </w:rPr>
        <w:t xml:space="preserve">operations </w:t>
      </w:r>
      <w:r w:rsidRPr="00A72432">
        <w:rPr>
          <w:lang w:eastAsia="en-GB"/>
        </w:rPr>
        <w:t xml:space="preserve">results in a complex multimode loading on the discharge pipe. Due to the complexity of loading, design changes, and a need to functionally test the UV, a commissioning test rig was set up at the premises of the manufacturers. Two completed UVs were placed in the test rig, and each ran through a full program of functional tests. Strain gauges </w:t>
      </w:r>
      <w:r w:rsidR="00D90A8E" w:rsidRPr="00A72432">
        <w:rPr>
          <w:lang w:eastAsia="en-GB"/>
        </w:rPr>
        <w:t xml:space="preserve">and </w:t>
      </w:r>
      <w:r w:rsidR="00D90A8E">
        <w:rPr>
          <w:lang w:eastAsia="en-GB"/>
        </w:rPr>
        <w:t>accelerometers</w:t>
      </w:r>
      <w:r w:rsidRPr="00A72432">
        <w:rPr>
          <w:lang w:eastAsia="en-GB"/>
        </w:rPr>
        <w:t xml:space="preserve"> were placed on the discharge pipe of each UV for the tests to understand the behaviour of the pipe in response to the various loading caused by the operations. However, all instrumentation except the accelerometers on one of the UVs failed during testing.</w:t>
      </w:r>
      <w:r w:rsidR="00280036">
        <w:rPr>
          <w:lang w:eastAsia="en-GB"/>
        </w:rPr>
        <w:t xml:space="preserve"> </w:t>
      </w:r>
      <w:r w:rsidR="00C93B8C">
        <w:rPr>
          <w:lang w:eastAsia="en-GB"/>
        </w:rPr>
        <w:t xml:space="preserve">The time history results showed the jet ring sequence provided the </w:t>
      </w:r>
      <w:r w:rsidR="00681250">
        <w:rPr>
          <w:lang w:eastAsia="en-GB"/>
        </w:rPr>
        <w:t>worst-case</w:t>
      </w:r>
      <w:r w:rsidR="00C93B8C">
        <w:rPr>
          <w:lang w:eastAsia="en-GB"/>
        </w:rPr>
        <w:t xml:space="preserve"> accelerations. </w:t>
      </w:r>
      <w:r w:rsidRPr="00A72432">
        <w:rPr>
          <w:lang w:eastAsia="en-GB"/>
        </w:rPr>
        <w:t xml:space="preserve">With no working strain gauges the accelerometer data was processed and used to </w:t>
      </w:r>
      <w:r w:rsidR="00D90A8E" w:rsidRPr="00D90A8E">
        <w:rPr>
          <w:lang w:eastAsia="en-GB"/>
        </w:rPr>
        <w:t xml:space="preserve">derive displacements </w:t>
      </w:r>
      <w:r w:rsidR="00D90A8E">
        <w:rPr>
          <w:lang w:eastAsia="en-GB"/>
        </w:rPr>
        <w:t xml:space="preserve">(Table 1) and </w:t>
      </w:r>
      <w:r w:rsidRPr="00A72432">
        <w:rPr>
          <w:lang w:eastAsia="en-GB"/>
        </w:rPr>
        <w:t xml:space="preserve">develop response spectra </w:t>
      </w:r>
      <w:r w:rsidR="00D90A8E">
        <w:rPr>
          <w:lang w:eastAsia="en-GB"/>
        </w:rPr>
        <w:t>(Figure 2)</w:t>
      </w:r>
      <w:r w:rsidRPr="00A72432">
        <w:rPr>
          <w:lang w:eastAsia="en-GB"/>
        </w:rPr>
        <w:t xml:space="preserve">. </w:t>
      </w:r>
    </w:p>
    <w:p w14:paraId="05C0F731" w14:textId="77777777" w:rsidR="00D90A8E" w:rsidRPr="00D76AB0" w:rsidRDefault="00D90A8E" w:rsidP="00D76AB0">
      <w:pPr>
        <w:tabs>
          <w:tab w:val="clear" w:pos="567"/>
        </w:tabs>
        <w:autoSpaceDE w:val="0"/>
        <w:autoSpaceDN w:val="0"/>
        <w:adjustRightInd w:val="0"/>
        <w:spacing w:before="0" w:after="0"/>
        <w:rPr>
          <w:lang w:eastAsia="en-GB"/>
        </w:rPr>
      </w:pPr>
    </w:p>
    <w:p w14:paraId="2B16013E" w14:textId="02D6AE28" w:rsidR="00D90A8E" w:rsidRDefault="00D90A8E" w:rsidP="00D90A8E">
      <w:pPr>
        <w:tabs>
          <w:tab w:val="clear" w:pos="567"/>
          <w:tab w:val="left" w:pos="720"/>
        </w:tabs>
        <w:autoSpaceDE w:val="0"/>
        <w:autoSpaceDN w:val="0"/>
        <w:adjustRightInd w:val="0"/>
        <w:spacing w:before="0" w:after="0"/>
        <w:jc w:val="center"/>
        <w:rPr>
          <w:lang w:eastAsia="en-GB"/>
        </w:rPr>
      </w:pPr>
      <w:r>
        <w:rPr>
          <w:lang w:eastAsia="en-GB"/>
        </w:rPr>
        <w:t xml:space="preserve"> </w:t>
      </w:r>
      <w:r>
        <w:rPr>
          <w:noProof/>
          <w:lang w:eastAsia="en-GB"/>
        </w:rPr>
        <w:drawing>
          <wp:inline distT="0" distB="0" distL="0" distR="0" wp14:anchorId="7BCE0EAD" wp14:editId="535DD213">
            <wp:extent cx="2414016" cy="567506"/>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491" cy="571379"/>
                    </a:xfrm>
                    <a:prstGeom prst="rect">
                      <a:avLst/>
                    </a:prstGeom>
                    <a:noFill/>
                    <a:ln>
                      <a:noFill/>
                    </a:ln>
                  </pic:spPr>
                </pic:pic>
              </a:graphicData>
            </a:graphic>
          </wp:inline>
        </w:drawing>
      </w:r>
    </w:p>
    <w:p w14:paraId="063A8291" w14:textId="77777777" w:rsidR="00D90A8E" w:rsidRDefault="00D90A8E" w:rsidP="00D90A8E">
      <w:pPr>
        <w:pStyle w:val="Tab"/>
        <w:numPr>
          <w:ilvl w:val="0"/>
          <w:numId w:val="19"/>
        </w:numPr>
      </w:pPr>
      <w:r>
        <w:t>Maximum Displacement during Jet Ring Sequence for Channel 4X &amp; Z</w:t>
      </w:r>
    </w:p>
    <w:p w14:paraId="3865A9D9" w14:textId="18263934" w:rsidR="00A72432" w:rsidRDefault="00A72432" w:rsidP="00A72432">
      <w:pPr>
        <w:tabs>
          <w:tab w:val="clear" w:pos="567"/>
        </w:tabs>
        <w:autoSpaceDE w:val="0"/>
        <w:autoSpaceDN w:val="0"/>
        <w:adjustRightInd w:val="0"/>
        <w:spacing w:before="0" w:after="0"/>
        <w:jc w:val="center"/>
        <w:rPr>
          <w:lang w:eastAsia="en-GB"/>
        </w:rPr>
      </w:pPr>
      <w:r>
        <w:rPr>
          <w:noProof/>
        </w:rPr>
        <w:drawing>
          <wp:inline distT="0" distB="0" distL="0" distR="0" wp14:anchorId="1EA91D1A" wp14:editId="5CD602E9">
            <wp:extent cx="1952824" cy="3224890"/>
            <wp:effectExtent l="0" t="7302" r="2222" b="222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rot="5400000">
                      <a:off x="0" y="0"/>
                      <a:ext cx="2028823" cy="3350395"/>
                    </a:xfrm>
                    <a:prstGeom prst="rect">
                      <a:avLst/>
                    </a:prstGeom>
                  </pic:spPr>
                </pic:pic>
              </a:graphicData>
            </a:graphic>
          </wp:inline>
        </w:drawing>
      </w:r>
    </w:p>
    <w:p w14:paraId="30680222" w14:textId="421B77C8" w:rsidR="00A72432" w:rsidRDefault="00A72432" w:rsidP="00A72432">
      <w:pPr>
        <w:pStyle w:val="Subtitle"/>
      </w:pPr>
      <w:r w:rsidRPr="00A72432">
        <w:t xml:space="preserve">Response Spectrum </w:t>
      </w:r>
      <w:r w:rsidR="00C93B8C">
        <w:t xml:space="preserve">from the </w:t>
      </w:r>
      <w:r w:rsidR="00494933">
        <w:t xml:space="preserve">Jet Ring Sequence </w:t>
      </w:r>
      <w:r w:rsidRPr="00A72432">
        <w:t>Test Data (0-100Hz)</w:t>
      </w:r>
    </w:p>
    <w:p w14:paraId="4B99EE76" w14:textId="3270EF0B" w:rsidR="00962299" w:rsidRDefault="00BC3276" w:rsidP="00962299">
      <w:pPr>
        <w:pStyle w:val="Heading1"/>
      </w:pPr>
      <w:r>
        <w:lastRenderedPageBreak/>
        <w:t xml:space="preserve">Summary of the </w:t>
      </w:r>
      <w:r w:rsidR="00C85559">
        <w:t>FE Modelling Results</w:t>
      </w:r>
    </w:p>
    <w:p w14:paraId="3F1DEB27" w14:textId="14AC4A44" w:rsidR="00D90A8E" w:rsidRDefault="00280036" w:rsidP="00E45250">
      <w:pPr>
        <w:tabs>
          <w:tab w:val="clear" w:pos="567"/>
          <w:tab w:val="left" w:pos="720"/>
        </w:tabs>
        <w:autoSpaceDE w:val="0"/>
        <w:autoSpaceDN w:val="0"/>
        <w:adjustRightInd w:val="0"/>
        <w:spacing w:after="0"/>
        <w:rPr>
          <w:lang w:eastAsia="en-GB"/>
        </w:rPr>
      </w:pPr>
      <w:r w:rsidRPr="00280036">
        <w:rPr>
          <w:lang w:eastAsia="en-GB"/>
        </w:rPr>
        <w:t>The response spectrum shows the vibration in the discharge pipe is complex with multiple natural frequencies acting simultaneously throughout the operation.</w:t>
      </w:r>
      <w:r>
        <w:rPr>
          <w:lang w:eastAsia="en-GB"/>
        </w:rPr>
        <w:t xml:space="preserve"> </w:t>
      </w:r>
      <w:r w:rsidR="00D90A8E">
        <w:rPr>
          <w:lang w:eastAsia="en-GB"/>
        </w:rPr>
        <w:t xml:space="preserve">A simple static model could not capture the structures response at different natural frequency's and instead a harmonic response analysis </w:t>
      </w:r>
      <w:r w:rsidR="00C93B8C">
        <w:rPr>
          <w:lang w:eastAsia="en-GB"/>
        </w:rPr>
        <w:t>was</w:t>
      </w:r>
      <w:r w:rsidR="00D90A8E">
        <w:rPr>
          <w:lang w:eastAsia="en-GB"/>
        </w:rPr>
        <w:t xml:space="preserve"> used to capture the response of those modes and allow their combination. The derived displacement data from the accelerometers has been used to adjust the loading in the FE model to fit the output displacement</w:t>
      </w:r>
      <w:r w:rsidR="00C93B8C">
        <w:rPr>
          <w:lang w:eastAsia="en-GB"/>
        </w:rPr>
        <w:t>, which</w:t>
      </w:r>
      <w:r w:rsidR="00D90A8E">
        <w:rPr>
          <w:lang w:eastAsia="en-GB"/>
        </w:rPr>
        <w:t xml:space="preserve"> provide</w:t>
      </w:r>
      <w:r w:rsidR="00C93B8C">
        <w:rPr>
          <w:lang w:eastAsia="en-GB"/>
        </w:rPr>
        <w:t>s</w:t>
      </w:r>
      <w:r w:rsidR="00D90A8E">
        <w:rPr>
          <w:lang w:eastAsia="en-GB"/>
        </w:rPr>
        <w:t xml:space="preserve"> a representative response</w:t>
      </w:r>
      <w:r w:rsidR="0047519F">
        <w:rPr>
          <w:lang w:eastAsia="en-GB"/>
        </w:rPr>
        <w:t xml:space="preserve"> that can be used for further calculation</w:t>
      </w:r>
      <w:r w:rsidR="00D90A8E">
        <w:rPr>
          <w:lang w:eastAsia="en-GB"/>
        </w:rPr>
        <w:t>.</w:t>
      </w:r>
    </w:p>
    <w:p w14:paraId="79D2FE0C" w14:textId="77777777" w:rsidR="00D90A8E" w:rsidRDefault="00D90A8E" w:rsidP="00D90A8E">
      <w:pPr>
        <w:tabs>
          <w:tab w:val="clear" w:pos="567"/>
          <w:tab w:val="left" w:pos="720"/>
        </w:tabs>
        <w:autoSpaceDE w:val="0"/>
        <w:autoSpaceDN w:val="0"/>
        <w:adjustRightInd w:val="0"/>
        <w:spacing w:before="0" w:after="0"/>
        <w:rPr>
          <w:lang w:eastAsia="en-GB"/>
        </w:rPr>
      </w:pPr>
    </w:p>
    <w:p w14:paraId="2DD85CCE" w14:textId="30A9C08F" w:rsidR="00D90A8E" w:rsidRDefault="00D90A8E" w:rsidP="00280036">
      <w:pPr>
        <w:spacing w:after="0"/>
      </w:pPr>
      <w:r>
        <w:t xml:space="preserve">The harmonic analysis provides </w:t>
      </w:r>
      <w:r w:rsidR="00C93B8C">
        <w:t xml:space="preserve">the </w:t>
      </w:r>
      <w:r>
        <w:t xml:space="preserve">response of the structure to cyclic loads over a frequency range. Mode superposition method was used for this analysis, it combines the linear mode shapes defined by a normal modal analysis to derive a displacement vector over the range of frequencies. As the response is determined from the modes considered, it is important to include any dominant mode shapes that to contribute to the structure’s response. The cumulative mass fraction in the modal analysis shows the first four modes ranging from 30.96Hz to 64.4Hz are the dominating natural frequencies. The harmonic analysis develops a response for the first four modes of the structure (Figure 3). </w:t>
      </w:r>
      <w:r w:rsidR="00C93B8C">
        <w:t xml:space="preserve">It determines the peak displacement response around each of those modes, and the force input is iterated to match the FE model response to the test data. </w:t>
      </w:r>
    </w:p>
    <w:p w14:paraId="0E9156D8" w14:textId="124BD129" w:rsidR="00391ED3" w:rsidRDefault="00391ED3" w:rsidP="00391ED3">
      <w:pPr>
        <w:tabs>
          <w:tab w:val="clear" w:pos="567"/>
        </w:tabs>
        <w:autoSpaceDE w:val="0"/>
        <w:autoSpaceDN w:val="0"/>
        <w:adjustRightInd w:val="0"/>
        <w:spacing w:before="0" w:after="0"/>
        <w:jc w:val="center"/>
        <w:rPr>
          <w:rFonts w:eastAsia="CIDFont+F11"/>
          <w:lang w:eastAsia="en-GB"/>
        </w:rPr>
      </w:pPr>
      <w:r>
        <w:rPr>
          <w:rFonts w:eastAsia="CIDFont+F11"/>
          <w:lang w:eastAsia="en-GB"/>
        </w:rPr>
        <w:t xml:space="preserve">   </w:t>
      </w:r>
    </w:p>
    <w:p w14:paraId="48BFA199" w14:textId="73E3F64A" w:rsidR="00391ED3" w:rsidRDefault="00391ED3" w:rsidP="00391ED3">
      <w:pPr>
        <w:tabs>
          <w:tab w:val="clear" w:pos="567"/>
        </w:tabs>
        <w:autoSpaceDE w:val="0"/>
        <w:autoSpaceDN w:val="0"/>
        <w:adjustRightInd w:val="0"/>
        <w:spacing w:before="0" w:after="0"/>
        <w:jc w:val="center"/>
        <w:rPr>
          <w:rFonts w:eastAsia="CIDFont+F11"/>
          <w:lang w:eastAsia="en-GB"/>
        </w:rPr>
      </w:pPr>
      <w:r w:rsidRPr="00391ED3">
        <w:rPr>
          <w:rFonts w:eastAsia="CIDFont+F11"/>
          <w:lang w:eastAsia="en-GB"/>
        </w:rPr>
        <w:t xml:space="preserve"> </w:t>
      </w:r>
      <w:r>
        <w:rPr>
          <w:rFonts w:eastAsia="CIDFont+F11"/>
          <w:lang w:eastAsia="en-GB"/>
        </w:rPr>
        <w:t xml:space="preserve">  </w:t>
      </w:r>
      <w:r w:rsidR="00280036">
        <w:rPr>
          <w:noProof/>
        </w:rPr>
        <w:drawing>
          <wp:inline distT="0" distB="0" distL="0" distR="0" wp14:anchorId="0B6C7D2E" wp14:editId="6B2AB9FB">
            <wp:extent cx="4294023" cy="371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7751" cy="3745011"/>
                    </a:xfrm>
                    <a:prstGeom prst="rect">
                      <a:avLst/>
                    </a:prstGeom>
                  </pic:spPr>
                </pic:pic>
              </a:graphicData>
            </a:graphic>
          </wp:inline>
        </w:drawing>
      </w:r>
    </w:p>
    <w:p w14:paraId="490D3B84" w14:textId="56221731" w:rsidR="00391ED3" w:rsidRDefault="00391ED3" w:rsidP="00391ED3">
      <w:pPr>
        <w:pStyle w:val="Subtitle"/>
        <w:rPr>
          <w:lang w:eastAsia="en-GB"/>
        </w:rPr>
      </w:pPr>
      <w:r>
        <w:rPr>
          <w:lang w:eastAsia="en-GB"/>
        </w:rPr>
        <w:t>Harmonic Response Deformation Results</w:t>
      </w:r>
      <w:r w:rsidR="005C2A8A">
        <w:rPr>
          <w:lang w:eastAsia="en-GB"/>
        </w:rPr>
        <w:t xml:space="preserve"> (30.96Hz Top Left, 34.52Hz Top Right, 61.81Hz Bottom Left, 64.4Hz Bottom Right)</w:t>
      </w:r>
      <w:r>
        <w:rPr>
          <w:lang w:eastAsia="en-GB"/>
        </w:rPr>
        <w:t xml:space="preserve"> </w:t>
      </w:r>
    </w:p>
    <w:p w14:paraId="3E9C58F2" w14:textId="209BCB2E" w:rsidR="00127F21" w:rsidRDefault="00127F21" w:rsidP="00C85559">
      <w:pPr>
        <w:tabs>
          <w:tab w:val="clear" w:pos="567"/>
        </w:tabs>
        <w:autoSpaceDE w:val="0"/>
        <w:autoSpaceDN w:val="0"/>
        <w:adjustRightInd w:val="0"/>
        <w:spacing w:before="0" w:after="0"/>
        <w:rPr>
          <w:rFonts w:eastAsia="CIDFont+F11"/>
          <w:lang w:eastAsia="en-GB"/>
        </w:rPr>
      </w:pPr>
      <w:r w:rsidRPr="00127F21">
        <w:rPr>
          <w:rFonts w:eastAsia="CIDFont+F11"/>
          <w:lang w:eastAsia="en-GB"/>
        </w:rPr>
        <w:lastRenderedPageBreak/>
        <w:t>Once corelation is achieved the results are combined. Combination of the results is necessary as all modes are being excited throughout the operation. This is done using the using the square root sum of the squares method for each mode. Combined stresses are then used as the stress range for the fatigue assessment.</w:t>
      </w:r>
    </w:p>
    <w:p w14:paraId="13CE6D5E" w14:textId="77777777" w:rsidR="00127F21" w:rsidRDefault="00127F21" w:rsidP="00C85559">
      <w:pPr>
        <w:tabs>
          <w:tab w:val="clear" w:pos="567"/>
        </w:tabs>
        <w:autoSpaceDE w:val="0"/>
        <w:autoSpaceDN w:val="0"/>
        <w:adjustRightInd w:val="0"/>
        <w:spacing w:before="0" w:after="0"/>
        <w:rPr>
          <w:rFonts w:eastAsia="CIDFont+F11"/>
          <w:lang w:eastAsia="en-GB"/>
        </w:rPr>
      </w:pPr>
    </w:p>
    <w:p w14:paraId="7E07B360" w14:textId="2F5092B6" w:rsidR="00391ED3" w:rsidRDefault="00D90A8E" w:rsidP="00C85559">
      <w:pPr>
        <w:tabs>
          <w:tab w:val="clear" w:pos="567"/>
        </w:tabs>
        <w:autoSpaceDE w:val="0"/>
        <w:autoSpaceDN w:val="0"/>
        <w:adjustRightInd w:val="0"/>
        <w:spacing w:before="0" w:after="0"/>
        <w:rPr>
          <w:rFonts w:eastAsia="CIDFont+F11"/>
          <w:lang w:eastAsia="en-GB"/>
        </w:rPr>
      </w:pPr>
      <w:r w:rsidRPr="00D90A8E">
        <w:rPr>
          <w:rFonts w:eastAsia="CIDFont+F11"/>
          <w:lang w:eastAsia="en-GB"/>
        </w:rPr>
        <w:t>The fatigue assessment was conducted in accordance with PD5500</w:t>
      </w:r>
      <w:r w:rsidR="00614B92">
        <w:rPr>
          <w:rFonts w:eastAsia="CIDFont+F11"/>
          <w:lang w:eastAsia="en-GB"/>
        </w:rPr>
        <w:t>:2015</w:t>
      </w:r>
      <w:r w:rsidRPr="00D90A8E">
        <w:rPr>
          <w:rFonts w:eastAsia="CIDFont+F11"/>
          <w:lang w:eastAsia="en-GB"/>
        </w:rPr>
        <w:t xml:space="preserve"> Annex C</w:t>
      </w:r>
      <w:r w:rsidR="0076392C">
        <w:rPr>
          <w:rFonts w:eastAsia="CIDFont+F11"/>
          <w:lang w:eastAsia="en-GB"/>
        </w:rPr>
        <w:t xml:space="preserve"> (Reference 1)</w:t>
      </w:r>
      <w:r w:rsidRPr="00D90A8E">
        <w:rPr>
          <w:rFonts w:eastAsia="CIDFont+F11"/>
          <w:lang w:eastAsia="en-GB"/>
        </w:rPr>
        <w:t>. Stress ranges were extracted from the highest stressed areas through parent material and weld throats. This was then evaluated to a</w:t>
      </w:r>
      <w:r w:rsidR="00614B92">
        <w:rPr>
          <w:rFonts w:eastAsia="CIDFont+F11"/>
          <w:lang w:eastAsia="en-GB"/>
        </w:rPr>
        <w:t>a appropriate</w:t>
      </w:r>
      <w:r w:rsidRPr="00D90A8E">
        <w:rPr>
          <w:rFonts w:eastAsia="CIDFont+F11"/>
          <w:lang w:eastAsia="en-GB"/>
        </w:rPr>
        <w:t xml:space="preserve"> PD5500 defined S-N curve to predict the fatigue life of that section</w:t>
      </w:r>
      <w:r w:rsidR="0081199F">
        <w:rPr>
          <w:rFonts w:eastAsia="CIDFont+F11"/>
          <w:lang w:eastAsia="en-GB"/>
        </w:rPr>
        <w:t xml:space="preserve"> (Figure 4)</w:t>
      </w:r>
      <w:r w:rsidRPr="00D90A8E">
        <w:rPr>
          <w:rFonts w:eastAsia="CIDFont+F11"/>
          <w:lang w:eastAsia="en-GB"/>
        </w:rPr>
        <w:t>.</w:t>
      </w:r>
      <w:r w:rsidR="0081199F">
        <w:rPr>
          <w:rFonts w:eastAsia="CIDFont+F11"/>
          <w:lang w:eastAsia="en-GB"/>
        </w:rPr>
        <w:t xml:space="preserve"> </w:t>
      </w:r>
    </w:p>
    <w:p w14:paraId="053141E9" w14:textId="4DBA3C65" w:rsidR="0081199F" w:rsidRDefault="0081199F" w:rsidP="00C85559">
      <w:pPr>
        <w:tabs>
          <w:tab w:val="clear" w:pos="567"/>
        </w:tabs>
        <w:autoSpaceDE w:val="0"/>
        <w:autoSpaceDN w:val="0"/>
        <w:adjustRightInd w:val="0"/>
        <w:spacing w:before="0" w:after="0"/>
        <w:rPr>
          <w:rFonts w:eastAsia="CIDFont+F11"/>
          <w:lang w:eastAsia="en-GB"/>
        </w:rPr>
      </w:pPr>
    </w:p>
    <w:p w14:paraId="3E872D1E" w14:textId="22F9E123" w:rsidR="001F55AF" w:rsidRDefault="00D90A8E" w:rsidP="00D90A8E">
      <w:pPr>
        <w:tabs>
          <w:tab w:val="clear" w:pos="567"/>
        </w:tabs>
        <w:autoSpaceDE w:val="0"/>
        <w:autoSpaceDN w:val="0"/>
        <w:adjustRightInd w:val="0"/>
        <w:spacing w:before="0" w:after="0"/>
        <w:jc w:val="center"/>
        <w:rPr>
          <w:rFonts w:eastAsia="CIDFont+F11"/>
          <w:lang w:eastAsia="en-GB"/>
        </w:rPr>
      </w:pPr>
      <w:r>
        <w:rPr>
          <w:noProof/>
        </w:rPr>
        <w:drawing>
          <wp:inline distT="0" distB="0" distL="0" distR="0" wp14:anchorId="5E0AD54E" wp14:editId="76AD0635">
            <wp:extent cx="4163963" cy="27139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tretch>
                      <a:fillRect/>
                    </a:stretch>
                  </pic:blipFill>
                  <pic:spPr>
                    <a:xfrm>
                      <a:off x="0" y="0"/>
                      <a:ext cx="4245189" cy="2766880"/>
                    </a:xfrm>
                    <a:prstGeom prst="rect">
                      <a:avLst/>
                    </a:prstGeom>
                  </pic:spPr>
                </pic:pic>
              </a:graphicData>
            </a:graphic>
          </wp:inline>
        </w:drawing>
      </w:r>
    </w:p>
    <w:p w14:paraId="673EB808" w14:textId="49521F47" w:rsidR="00D90A8E" w:rsidRDefault="00D90A8E" w:rsidP="00D90A8E">
      <w:pPr>
        <w:pStyle w:val="Subtitle"/>
        <w:rPr>
          <w:lang w:eastAsia="en-GB"/>
        </w:rPr>
      </w:pPr>
      <w:r w:rsidRPr="00D90A8E">
        <w:rPr>
          <w:lang w:eastAsia="en-GB"/>
        </w:rPr>
        <w:t>PD5500 S-N Curve Showing Fatigue Results</w:t>
      </w:r>
      <w:r w:rsidR="005C2A8A">
        <w:rPr>
          <w:lang w:eastAsia="en-GB"/>
        </w:rPr>
        <w:t xml:space="preserve"> for a Weld Throat</w:t>
      </w:r>
    </w:p>
    <w:p w14:paraId="072B3480" w14:textId="30E9D1E9" w:rsidR="0081199F" w:rsidRDefault="0081199F" w:rsidP="0081199F">
      <w:pPr>
        <w:rPr>
          <w:lang w:eastAsia="en-GB"/>
        </w:rPr>
      </w:pPr>
      <w:r w:rsidRPr="0081199F">
        <w:rPr>
          <w:lang w:eastAsia="en-GB"/>
        </w:rPr>
        <w:t xml:space="preserve">The harmonic analysis FE model outputs were corelated with test data to provide representative stress ranges for a PD5500 fatigue assessment. This demonstrated that the fatigue performance on a </w:t>
      </w:r>
      <w:r w:rsidR="00D45FB1">
        <w:rPr>
          <w:lang w:eastAsia="en-GB"/>
        </w:rPr>
        <w:t xml:space="preserve">functionally </w:t>
      </w:r>
      <w:r w:rsidRPr="0081199F">
        <w:rPr>
          <w:lang w:eastAsia="en-GB"/>
        </w:rPr>
        <w:t xml:space="preserve">critical vessel component was acceptable for a </w:t>
      </w:r>
      <w:r w:rsidR="00681250" w:rsidRPr="0081199F">
        <w:rPr>
          <w:lang w:eastAsia="en-GB"/>
        </w:rPr>
        <w:t>50-year</w:t>
      </w:r>
      <w:r w:rsidRPr="0081199F">
        <w:rPr>
          <w:lang w:eastAsia="en-GB"/>
        </w:rPr>
        <w:t xml:space="preserve"> operational life.</w:t>
      </w:r>
    </w:p>
    <w:p w14:paraId="3DF05DFA" w14:textId="77777777" w:rsidR="00280036" w:rsidRDefault="00280036" w:rsidP="0081199F">
      <w:pPr>
        <w:rPr>
          <w:lang w:eastAsia="en-GB"/>
        </w:rPr>
      </w:pPr>
    </w:p>
    <w:p w14:paraId="716B1D49" w14:textId="77777777" w:rsidR="00127F21" w:rsidRDefault="00127F21" w:rsidP="00127F21">
      <w:pPr>
        <w:pStyle w:val="Heading1"/>
        <w:numPr>
          <w:ilvl w:val="0"/>
          <w:numId w:val="17"/>
        </w:numPr>
        <w:ind w:left="567" w:hanging="567"/>
      </w:pPr>
      <w:r>
        <w:t>References</w:t>
      </w:r>
    </w:p>
    <w:p w14:paraId="354F63D8" w14:textId="77777777" w:rsidR="00127F21" w:rsidRDefault="00127F21" w:rsidP="00127F21">
      <w:pPr>
        <w:pStyle w:val="ListParagraph"/>
        <w:numPr>
          <w:ilvl w:val="0"/>
          <w:numId w:val="20"/>
        </w:numPr>
        <w:rPr>
          <w:lang w:eastAsia="en-GB"/>
        </w:rPr>
      </w:pPr>
      <w:r>
        <w:rPr>
          <w:lang w:eastAsia="en-GB"/>
        </w:rPr>
        <w:t>PD5500:2015, Specification for Unfired Fusion Welded Pressure Vessels.</w:t>
      </w:r>
    </w:p>
    <w:p w14:paraId="67B70995" w14:textId="77777777" w:rsidR="00127F21" w:rsidRPr="0081199F" w:rsidRDefault="00127F21" w:rsidP="0081199F">
      <w:pPr>
        <w:rPr>
          <w:lang w:eastAsia="en-GB"/>
        </w:rPr>
      </w:pPr>
    </w:p>
    <w:sectPr w:rsidR="00127F21" w:rsidRPr="0081199F" w:rsidSect="00F90A3D">
      <w:pgSz w:w="11906" w:h="16838" w:code="9"/>
      <w:pgMar w:top="2098" w:right="1841" w:bottom="1560" w:left="21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9899D" w14:textId="77777777" w:rsidR="00340E6E" w:rsidRDefault="00340E6E">
      <w:r>
        <w:separator/>
      </w:r>
    </w:p>
  </w:endnote>
  <w:endnote w:type="continuationSeparator" w:id="0">
    <w:p w14:paraId="170A4701" w14:textId="77777777" w:rsidR="00340E6E" w:rsidRDefault="0034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IDFont+F11">
    <w:altName w:val="Malgun Gothic"/>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87626" w14:textId="77777777" w:rsidR="00340E6E" w:rsidRDefault="00340E6E">
      <w:r>
        <w:separator/>
      </w:r>
    </w:p>
  </w:footnote>
  <w:footnote w:type="continuationSeparator" w:id="0">
    <w:p w14:paraId="3B7A9FF2" w14:textId="77777777" w:rsidR="00340E6E" w:rsidRDefault="00340E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A79693D"/>
    <w:multiLevelType w:val="hybridMultilevel"/>
    <w:tmpl w:val="5EE28B78"/>
    <w:lvl w:ilvl="0" w:tplc="FBFEE1F0">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840428"/>
    <w:multiLevelType w:val="hybridMultilevel"/>
    <w:tmpl w:val="8A36D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551B47"/>
    <w:multiLevelType w:val="hybridMultilevel"/>
    <w:tmpl w:val="D12641E6"/>
    <w:lvl w:ilvl="0" w:tplc="52C25448">
      <w:start w:val="1"/>
      <w:numFmt w:val="decimal"/>
      <w:pStyle w:val="Subtitl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620563"/>
    <w:multiLevelType w:val="hybridMultilevel"/>
    <w:tmpl w:val="8A36D2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98693363">
    <w:abstractNumId w:val="2"/>
  </w:num>
  <w:num w:numId="2" w16cid:durableId="593711302">
    <w:abstractNumId w:val="11"/>
  </w:num>
  <w:num w:numId="3" w16cid:durableId="2009821017">
    <w:abstractNumId w:val="3"/>
  </w:num>
  <w:num w:numId="4" w16cid:durableId="863252386">
    <w:abstractNumId w:val="1"/>
  </w:num>
  <w:num w:numId="5" w16cid:durableId="405422780">
    <w:abstractNumId w:val="0"/>
  </w:num>
  <w:num w:numId="6" w16cid:durableId="1009874546">
    <w:abstractNumId w:val="10"/>
  </w:num>
  <w:num w:numId="7" w16cid:durableId="1691563649">
    <w:abstractNumId w:val="5"/>
  </w:num>
  <w:num w:numId="8" w16cid:durableId="1227686878">
    <w:abstractNumId w:val="4"/>
  </w:num>
  <w:num w:numId="9" w16cid:durableId="2061131500">
    <w:abstractNumId w:val="9"/>
  </w:num>
  <w:num w:numId="10" w16cid:durableId="1432505344">
    <w:abstractNumId w:val="12"/>
  </w:num>
  <w:num w:numId="11" w16cid:durableId="328287954">
    <w:abstractNumId w:val="8"/>
  </w:num>
  <w:num w:numId="12" w16cid:durableId="102458067">
    <w:abstractNumId w:val="6"/>
  </w:num>
  <w:num w:numId="13" w16cid:durableId="531188017">
    <w:abstractNumId w:val="9"/>
  </w:num>
  <w:num w:numId="14" w16cid:durableId="8478628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2199433">
    <w:abstractNumId w:val="7"/>
  </w:num>
  <w:num w:numId="16" w16cid:durableId="1352611807">
    <w:abstractNumId w:val="13"/>
  </w:num>
  <w:num w:numId="17" w16cid:durableId="2284177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8606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11264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57510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25650"/>
    <w:rsid w:val="000707E1"/>
    <w:rsid w:val="00080A67"/>
    <w:rsid w:val="000B1E2B"/>
    <w:rsid w:val="001018B2"/>
    <w:rsid w:val="00127F21"/>
    <w:rsid w:val="00131620"/>
    <w:rsid w:val="001328CA"/>
    <w:rsid w:val="00160767"/>
    <w:rsid w:val="00176372"/>
    <w:rsid w:val="00196F9C"/>
    <w:rsid w:val="001A4A05"/>
    <w:rsid w:val="001C06B6"/>
    <w:rsid w:val="001D0404"/>
    <w:rsid w:val="001D74C9"/>
    <w:rsid w:val="001F55AF"/>
    <w:rsid w:val="00222560"/>
    <w:rsid w:val="00222616"/>
    <w:rsid w:val="00267461"/>
    <w:rsid w:val="00280036"/>
    <w:rsid w:val="00287CCB"/>
    <w:rsid w:val="002947F3"/>
    <w:rsid w:val="002B0A9C"/>
    <w:rsid w:val="002F7078"/>
    <w:rsid w:val="00313D13"/>
    <w:rsid w:val="00316979"/>
    <w:rsid w:val="00324533"/>
    <w:rsid w:val="00340E6E"/>
    <w:rsid w:val="00352603"/>
    <w:rsid w:val="00377A3F"/>
    <w:rsid w:val="00391ED3"/>
    <w:rsid w:val="003D49B4"/>
    <w:rsid w:val="00407B2E"/>
    <w:rsid w:val="00466A42"/>
    <w:rsid w:val="00467644"/>
    <w:rsid w:val="0047519F"/>
    <w:rsid w:val="00494933"/>
    <w:rsid w:val="00520BE1"/>
    <w:rsid w:val="0055137A"/>
    <w:rsid w:val="00591C77"/>
    <w:rsid w:val="00594369"/>
    <w:rsid w:val="005C2A8A"/>
    <w:rsid w:val="005D132B"/>
    <w:rsid w:val="00602672"/>
    <w:rsid w:val="00614B92"/>
    <w:rsid w:val="00634063"/>
    <w:rsid w:val="00665A77"/>
    <w:rsid w:val="00681250"/>
    <w:rsid w:val="0069494B"/>
    <w:rsid w:val="006C59EA"/>
    <w:rsid w:val="006E6933"/>
    <w:rsid w:val="007065BF"/>
    <w:rsid w:val="00722BA4"/>
    <w:rsid w:val="0075591D"/>
    <w:rsid w:val="0076392C"/>
    <w:rsid w:val="0077575D"/>
    <w:rsid w:val="00777FE4"/>
    <w:rsid w:val="007A50CA"/>
    <w:rsid w:val="007B7792"/>
    <w:rsid w:val="007C0A8B"/>
    <w:rsid w:val="007C31E5"/>
    <w:rsid w:val="0081199F"/>
    <w:rsid w:val="00841B9F"/>
    <w:rsid w:val="008C7C9B"/>
    <w:rsid w:val="008D7DB3"/>
    <w:rsid w:val="008F448B"/>
    <w:rsid w:val="0090691D"/>
    <w:rsid w:val="0095210F"/>
    <w:rsid w:val="00962299"/>
    <w:rsid w:val="00986AE8"/>
    <w:rsid w:val="009B583A"/>
    <w:rsid w:val="009C382F"/>
    <w:rsid w:val="009E499A"/>
    <w:rsid w:val="00A72432"/>
    <w:rsid w:val="00A80BBF"/>
    <w:rsid w:val="00AC7551"/>
    <w:rsid w:val="00AE67A4"/>
    <w:rsid w:val="00B263F1"/>
    <w:rsid w:val="00B852F5"/>
    <w:rsid w:val="00B949BF"/>
    <w:rsid w:val="00BA4E22"/>
    <w:rsid w:val="00BC3276"/>
    <w:rsid w:val="00BD0E17"/>
    <w:rsid w:val="00C341C7"/>
    <w:rsid w:val="00C42C2E"/>
    <w:rsid w:val="00C47BA5"/>
    <w:rsid w:val="00C85559"/>
    <w:rsid w:val="00C92321"/>
    <w:rsid w:val="00C93B8C"/>
    <w:rsid w:val="00D3769F"/>
    <w:rsid w:val="00D41D78"/>
    <w:rsid w:val="00D45FB1"/>
    <w:rsid w:val="00D76AB0"/>
    <w:rsid w:val="00D90A8E"/>
    <w:rsid w:val="00DC03B4"/>
    <w:rsid w:val="00DD3CD3"/>
    <w:rsid w:val="00E45250"/>
    <w:rsid w:val="00ED6A62"/>
    <w:rsid w:val="00EF44C3"/>
    <w:rsid w:val="00EF4C6C"/>
    <w:rsid w:val="00F355FE"/>
    <w:rsid w:val="00F65D87"/>
    <w:rsid w:val="00F83732"/>
    <w:rsid w:val="00F90A3D"/>
    <w:rsid w:val="00FC7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99AB3"/>
  <w15:chartTrackingRefBased/>
  <w15:docId w15:val="{D4201E10-ACDB-4750-8140-5D2B8AC4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404"/>
    <w:pPr>
      <w:tabs>
        <w:tab w:val="left" w:pos="567"/>
      </w:tabs>
      <w:spacing w:before="240" w:after="240"/>
    </w:pPr>
    <w:rPr>
      <w:sz w:val="24"/>
      <w:szCs w:val="24"/>
      <w:lang w:eastAsia="en-US"/>
    </w:rPr>
  </w:style>
  <w:style w:type="paragraph" w:styleId="Heading1">
    <w:name w:val="heading 1"/>
    <w:basedOn w:val="Normal"/>
    <w:next w:val="Normal"/>
    <w:link w:val="Heading1Char"/>
    <w:qFormat/>
    <w:rsid w:val="00722BA4"/>
    <w:pPr>
      <w:keepNext/>
      <w:numPr>
        <w:numId w:val="12"/>
      </w:numPr>
      <w:spacing w:after="60"/>
      <w:ind w:left="567" w:hanging="567"/>
      <w:outlineLvl w:val="0"/>
    </w:pPr>
    <w:rPr>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3D13"/>
    <w:pPr>
      <w:tabs>
        <w:tab w:val="clear" w:pos="567"/>
        <w:tab w:val="center" w:pos="4513"/>
        <w:tab w:val="right" w:pos="9026"/>
      </w:tabs>
    </w:pPr>
  </w:style>
  <w:style w:type="character" w:customStyle="1" w:styleId="HeaderChar">
    <w:name w:val="Header Char"/>
    <w:link w:val="Header"/>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13"/>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paragraph" w:styleId="ListParagraph">
    <w:name w:val="List Paragraph"/>
    <w:basedOn w:val="Normal"/>
    <w:uiPriority w:val="34"/>
    <w:qFormat/>
    <w:rsid w:val="001F55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69887">
      <w:bodyDiv w:val="1"/>
      <w:marLeft w:val="0"/>
      <w:marRight w:val="0"/>
      <w:marTop w:val="0"/>
      <w:marBottom w:val="0"/>
      <w:divBdr>
        <w:top w:val="none" w:sz="0" w:space="0" w:color="auto"/>
        <w:left w:val="none" w:sz="0" w:space="0" w:color="auto"/>
        <w:bottom w:val="none" w:sz="0" w:space="0" w:color="auto"/>
        <w:right w:val="none" w:sz="0" w:space="0" w:color="auto"/>
      </w:divBdr>
    </w:div>
    <w:div w:id="275448198">
      <w:bodyDiv w:val="1"/>
      <w:marLeft w:val="0"/>
      <w:marRight w:val="0"/>
      <w:marTop w:val="0"/>
      <w:marBottom w:val="0"/>
      <w:divBdr>
        <w:top w:val="none" w:sz="0" w:space="0" w:color="auto"/>
        <w:left w:val="none" w:sz="0" w:space="0" w:color="auto"/>
        <w:bottom w:val="none" w:sz="0" w:space="0" w:color="auto"/>
        <w:right w:val="none" w:sz="0" w:space="0" w:color="auto"/>
      </w:divBdr>
    </w:div>
    <w:div w:id="278529522">
      <w:bodyDiv w:val="1"/>
      <w:marLeft w:val="0"/>
      <w:marRight w:val="0"/>
      <w:marTop w:val="0"/>
      <w:marBottom w:val="0"/>
      <w:divBdr>
        <w:top w:val="none" w:sz="0" w:space="0" w:color="auto"/>
        <w:left w:val="none" w:sz="0" w:space="0" w:color="auto"/>
        <w:bottom w:val="none" w:sz="0" w:space="0" w:color="auto"/>
        <w:right w:val="none" w:sz="0" w:space="0" w:color="auto"/>
      </w:divBdr>
    </w:div>
    <w:div w:id="474418313">
      <w:bodyDiv w:val="1"/>
      <w:marLeft w:val="0"/>
      <w:marRight w:val="0"/>
      <w:marTop w:val="0"/>
      <w:marBottom w:val="0"/>
      <w:divBdr>
        <w:top w:val="none" w:sz="0" w:space="0" w:color="auto"/>
        <w:left w:val="none" w:sz="0" w:space="0" w:color="auto"/>
        <w:bottom w:val="none" w:sz="0" w:space="0" w:color="auto"/>
        <w:right w:val="none" w:sz="0" w:space="0" w:color="auto"/>
      </w:divBdr>
    </w:div>
    <w:div w:id="596867587">
      <w:bodyDiv w:val="1"/>
      <w:marLeft w:val="0"/>
      <w:marRight w:val="0"/>
      <w:marTop w:val="0"/>
      <w:marBottom w:val="0"/>
      <w:divBdr>
        <w:top w:val="none" w:sz="0" w:space="0" w:color="auto"/>
        <w:left w:val="none" w:sz="0" w:space="0" w:color="auto"/>
        <w:bottom w:val="none" w:sz="0" w:space="0" w:color="auto"/>
        <w:right w:val="none" w:sz="0" w:space="0" w:color="auto"/>
      </w:divBdr>
    </w:div>
    <w:div w:id="678459704">
      <w:bodyDiv w:val="1"/>
      <w:marLeft w:val="0"/>
      <w:marRight w:val="0"/>
      <w:marTop w:val="0"/>
      <w:marBottom w:val="0"/>
      <w:divBdr>
        <w:top w:val="none" w:sz="0" w:space="0" w:color="auto"/>
        <w:left w:val="none" w:sz="0" w:space="0" w:color="auto"/>
        <w:bottom w:val="none" w:sz="0" w:space="0" w:color="auto"/>
        <w:right w:val="none" w:sz="0" w:space="0" w:color="auto"/>
      </w:divBdr>
    </w:div>
    <w:div w:id="720325891">
      <w:bodyDiv w:val="1"/>
      <w:marLeft w:val="0"/>
      <w:marRight w:val="0"/>
      <w:marTop w:val="0"/>
      <w:marBottom w:val="0"/>
      <w:divBdr>
        <w:top w:val="none" w:sz="0" w:space="0" w:color="auto"/>
        <w:left w:val="none" w:sz="0" w:space="0" w:color="auto"/>
        <w:bottom w:val="none" w:sz="0" w:space="0" w:color="auto"/>
        <w:right w:val="none" w:sz="0" w:space="0" w:color="auto"/>
      </w:divBdr>
    </w:div>
    <w:div w:id="856626603">
      <w:bodyDiv w:val="1"/>
      <w:marLeft w:val="0"/>
      <w:marRight w:val="0"/>
      <w:marTop w:val="0"/>
      <w:marBottom w:val="0"/>
      <w:divBdr>
        <w:top w:val="none" w:sz="0" w:space="0" w:color="auto"/>
        <w:left w:val="none" w:sz="0" w:space="0" w:color="auto"/>
        <w:bottom w:val="none" w:sz="0" w:space="0" w:color="auto"/>
        <w:right w:val="none" w:sz="0" w:space="0" w:color="auto"/>
      </w:divBdr>
    </w:div>
    <w:div w:id="1046180801">
      <w:bodyDiv w:val="1"/>
      <w:marLeft w:val="0"/>
      <w:marRight w:val="0"/>
      <w:marTop w:val="0"/>
      <w:marBottom w:val="0"/>
      <w:divBdr>
        <w:top w:val="none" w:sz="0" w:space="0" w:color="auto"/>
        <w:left w:val="none" w:sz="0" w:space="0" w:color="auto"/>
        <w:bottom w:val="none" w:sz="0" w:space="0" w:color="auto"/>
        <w:right w:val="none" w:sz="0" w:space="0" w:color="auto"/>
      </w:divBdr>
    </w:div>
    <w:div w:id="1152209434">
      <w:bodyDiv w:val="1"/>
      <w:marLeft w:val="0"/>
      <w:marRight w:val="0"/>
      <w:marTop w:val="0"/>
      <w:marBottom w:val="0"/>
      <w:divBdr>
        <w:top w:val="none" w:sz="0" w:space="0" w:color="auto"/>
        <w:left w:val="none" w:sz="0" w:space="0" w:color="auto"/>
        <w:bottom w:val="none" w:sz="0" w:space="0" w:color="auto"/>
        <w:right w:val="none" w:sz="0" w:space="0" w:color="auto"/>
      </w:divBdr>
    </w:div>
    <w:div w:id="1293055154">
      <w:bodyDiv w:val="1"/>
      <w:marLeft w:val="0"/>
      <w:marRight w:val="0"/>
      <w:marTop w:val="0"/>
      <w:marBottom w:val="0"/>
      <w:divBdr>
        <w:top w:val="none" w:sz="0" w:space="0" w:color="auto"/>
        <w:left w:val="none" w:sz="0" w:space="0" w:color="auto"/>
        <w:bottom w:val="none" w:sz="0" w:space="0" w:color="auto"/>
        <w:right w:val="none" w:sz="0" w:space="0" w:color="auto"/>
      </w:divBdr>
    </w:div>
    <w:div w:id="1400834182">
      <w:bodyDiv w:val="1"/>
      <w:marLeft w:val="0"/>
      <w:marRight w:val="0"/>
      <w:marTop w:val="0"/>
      <w:marBottom w:val="0"/>
      <w:divBdr>
        <w:top w:val="none" w:sz="0" w:space="0" w:color="auto"/>
        <w:left w:val="none" w:sz="0" w:space="0" w:color="auto"/>
        <w:bottom w:val="none" w:sz="0" w:space="0" w:color="auto"/>
        <w:right w:val="none" w:sz="0" w:space="0" w:color="auto"/>
      </w:divBdr>
    </w:div>
    <w:div w:id="1413165542">
      <w:bodyDiv w:val="1"/>
      <w:marLeft w:val="0"/>
      <w:marRight w:val="0"/>
      <w:marTop w:val="0"/>
      <w:marBottom w:val="0"/>
      <w:divBdr>
        <w:top w:val="none" w:sz="0" w:space="0" w:color="auto"/>
        <w:left w:val="none" w:sz="0" w:space="0" w:color="auto"/>
        <w:bottom w:val="none" w:sz="0" w:space="0" w:color="auto"/>
        <w:right w:val="none" w:sz="0" w:space="0" w:color="auto"/>
      </w:divBdr>
    </w:div>
    <w:div w:id="1480809359">
      <w:bodyDiv w:val="1"/>
      <w:marLeft w:val="0"/>
      <w:marRight w:val="0"/>
      <w:marTop w:val="0"/>
      <w:marBottom w:val="0"/>
      <w:divBdr>
        <w:top w:val="none" w:sz="0" w:space="0" w:color="auto"/>
        <w:left w:val="none" w:sz="0" w:space="0" w:color="auto"/>
        <w:bottom w:val="none" w:sz="0" w:space="0" w:color="auto"/>
        <w:right w:val="none" w:sz="0" w:space="0" w:color="auto"/>
      </w:divBdr>
    </w:div>
    <w:div w:id="1613315366">
      <w:bodyDiv w:val="1"/>
      <w:marLeft w:val="0"/>
      <w:marRight w:val="0"/>
      <w:marTop w:val="0"/>
      <w:marBottom w:val="0"/>
      <w:divBdr>
        <w:top w:val="none" w:sz="0" w:space="0" w:color="auto"/>
        <w:left w:val="none" w:sz="0" w:space="0" w:color="auto"/>
        <w:bottom w:val="none" w:sz="0" w:space="0" w:color="auto"/>
        <w:right w:val="none" w:sz="0" w:space="0" w:color="auto"/>
      </w:divBdr>
    </w:div>
    <w:div w:id="1738822387">
      <w:bodyDiv w:val="1"/>
      <w:marLeft w:val="0"/>
      <w:marRight w:val="0"/>
      <w:marTop w:val="0"/>
      <w:marBottom w:val="0"/>
      <w:divBdr>
        <w:top w:val="none" w:sz="0" w:space="0" w:color="auto"/>
        <w:left w:val="none" w:sz="0" w:space="0" w:color="auto"/>
        <w:bottom w:val="none" w:sz="0" w:space="0" w:color="auto"/>
        <w:right w:val="none" w:sz="0" w:space="0" w:color="auto"/>
      </w:divBdr>
    </w:div>
    <w:div w:id="1829858839">
      <w:bodyDiv w:val="1"/>
      <w:marLeft w:val="0"/>
      <w:marRight w:val="0"/>
      <w:marTop w:val="0"/>
      <w:marBottom w:val="0"/>
      <w:divBdr>
        <w:top w:val="none" w:sz="0" w:space="0" w:color="auto"/>
        <w:left w:val="none" w:sz="0" w:space="0" w:color="auto"/>
        <w:bottom w:val="none" w:sz="0" w:space="0" w:color="auto"/>
        <w:right w:val="none" w:sz="0" w:space="0" w:color="auto"/>
      </w:divBdr>
    </w:div>
    <w:div w:id="1974284732">
      <w:bodyDiv w:val="1"/>
      <w:marLeft w:val="0"/>
      <w:marRight w:val="0"/>
      <w:marTop w:val="0"/>
      <w:marBottom w:val="0"/>
      <w:divBdr>
        <w:top w:val="none" w:sz="0" w:space="0" w:color="auto"/>
        <w:left w:val="none" w:sz="0" w:space="0" w:color="auto"/>
        <w:bottom w:val="none" w:sz="0" w:space="0" w:color="auto"/>
        <w:right w:val="none" w:sz="0" w:space="0" w:color="auto"/>
      </w:divBdr>
    </w:div>
    <w:div w:id="212665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fd403455-cda7-4c1b-b87f-02f0c0503f88" origin="userSelected">
  <element uid="id_protective_marking_new_item_1" value=""/>
</sisl>
</file>

<file path=customXml/itemProps1.xml><?xml version="1.0" encoding="utf-8"?>
<ds:datastoreItem xmlns:ds="http://schemas.openxmlformats.org/officeDocument/2006/customXml" ds:itemID="{A149DF26-C09B-4003-9132-7BC1BB0BDC6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paper_template.dotx</Template>
  <TotalTime>22</TotalTime>
  <Pages>4</Pages>
  <Words>998</Words>
  <Characters>5269</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NWC19 - Paper Template</vt:lpstr>
      <vt:lpstr>TITLE OF PAPER – USE “PAPER TITLE” STYLE</vt:lpstr>
    </vt:vector>
  </TitlesOfParts>
  <Company>nafems</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subject/>
  <dc:creator>Jo Davenport</dc:creator>
  <cp:keywords/>
  <cp:lastModifiedBy>Sun, Daxue (SL)</cp:lastModifiedBy>
  <cp:revision>3</cp:revision>
  <dcterms:created xsi:type="dcterms:W3CDTF">2024-04-24T15:28:00Z</dcterms:created>
  <dcterms:modified xsi:type="dcterms:W3CDTF">2024-04-24T15:40:00Z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49f93807-2373-40d8-a8a9-50179b6bbb7c</vt:lpwstr>
  </property>
  <property fmtid="{D5CDD505-2E9C-101B-9397-08002B2CF9AE}" pid="3" name="bjSaver">
    <vt:lpwstr>FSESd6rocO4jyjsx1NbrZsdNchWl5QlW</vt:lpwstr>
  </property>
  <property fmtid="{D5CDD505-2E9C-101B-9397-08002B2CF9AE}" pid="4" name="bjDocumentLabelXML">
    <vt:lpwstr>&lt;?xml version="1.0" encoding="us-ascii"?&gt;&lt;sisl xmlns:xsi="http://www.w3.org/2001/XMLSchema-instance" xmlns:xsd="http://www.w3.org/2001/XMLSchema" sislVersion="0" policy="fd403455-cda7-4c1b-b87f-02f0c0503f88" origin="userSelected" xmlns="http://www.boldonj</vt:lpwstr>
  </property>
  <property fmtid="{D5CDD505-2E9C-101B-9397-08002B2CF9AE}" pid="5" name="bjDocumentLabelXML-0">
    <vt:lpwstr>ames.com/2008/01/sie/internal/label"&gt;&lt;element uid="id_protective_marking_new_item_1" value="" /&gt;&lt;/sisl&gt;</vt:lpwstr>
  </property>
  <property fmtid="{D5CDD505-2E9C-101B-9397-08002B2CF9AE}" pid="6" name="bjDocumentSecurityLabel">
    <vt:lpwstr>[OFFICIAL NO MARKING]</vt:lpwstr>
  </property>
  <property fmtid="{D5CDD505-2E9C-101B-9397-08002B2CF9AE}" pid="7" name="bjClsUserRVM">
    <vt:lpwstr>[]</vt:lpwstr>
  </property>
</Properties>
</file>