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1C2F" w:rsidRPr="00AB2FCA" w:rsidRDefault="00121C2F" w:rsidP="00722BA4">
      <w:pPr>
        <w:jc w:val="right"/>
        <w:rPr>
          <w:b/>
          <w:bCs/>
          <w:kern w:val="28"/>
          <w:sz w:val="32"/>
          <w:szCs w:val="32"/>
        </w:rPr>
      </w:pPr>
      <w:r w:rsidRPr="00AB2FCA">
        <w:rPr>
          <w:b/>
          <w:bCs/>
          <w:kern w:val="28"/>
          <w:sz w:val="32"/>
          <w:szCs w:val="32"/>
        </w:rPr>
        <w:t xml:space="preserve">Converging AI/ML techniques with traditional physics-based computational fluid dynamics (CFD) simulations to streamline conceptual design processes across automotive, motorsport, and energy industries </w:t>
      </w:r>
    </w:p>
    <w:p w:rsidR="00121C2F" w:rsidRPr="00AB2FCA" w:rsidRDefault="000707E1" w:rsidP="00722BA4">
      <w:pPr>
        <w:jc w:val="right"/>
      </w:pPr>
      <w:r w:rsidRPr="00AB2FCA">
        <w:br/>
      </w:r>
      <w:r w:rsidR="00121C2F" w:rsidRPr="00AB2FCA">
        <w:t xml:space="preserve">Ashish Naik, on behalf of </w:t>
      </w:r>
      <w:proofErr w:type="spellStart"/>
      <w:r w:rsidR="00121C2F" w:rsidRPr="00AB2FCA">
        <w:t>Dr.</w:t>
      </w:r>
      <w:proofErr w:type="spellEnd"/>
      <w:r w:rsidR="00121C2F" w:rsidRPr="00AB2FCA">
        <w:t xml:space="preserve"> Vidyasagar Ananthan, Satheesh Maheswaran, Neil Ashton, and Srinivas </w:t>
      </w:r>
      <w:proofErr w:type="spellStart"/>
      <w:r w:rsidR="00121C2F" w:rsidRPr="00AB2FCA">
        <w:t>Tadepall</w:t>
      </w:r>
      <w:proofErr w:type="spellEnd"/>
    </w:p>
    <w:p w:rsidR="00F65D87" w:rsidRPr="00AB2FCA" w:rsidRDefault="00121C2F" w:rsidP="001C1BE5">
      <w:pPr>
        <w:jc w:val="right"/>
        <w:rPr>
          <w:i/>
          <w:iCs/>
        </w:rPr>
      </w:pPr>
      <w:r w:rsidRPr="00AB2FCA">
        <w:rPr>
          <w:i/>
          <w:iCs/>
        </w:rPr>
        <w:t>(Amazon Web Services)</w:t>
      </w:r>
      <w:r w:rsidR="000707E1" w:rsidRPr="00AB2FCA">
        <w:t>.</w:t>
      </w:r>
    </w:p>
    <w:p w:rsidR="00313D13" w:rsidRPr="00AB2FCA" w:rsidRDefault="001D0404" w:rsidP="00313D13">
      <w:pPr>
        <w:pStyle w:val="Author"/>
        <w:rPr>
          <w:rStyle w:val="Strong"/>
        </w:rPr>
      </w:pPr>
      <w:r w:rsidRPr="00AB2FCA">
        <w:rPr>
          <w:rStyle w:val="Strong"/>
        </w:rPr>
        <w:t>Abstract</w:t>
      </w:r>
    </w:p>
    <w:p w:rsidR="00121C2F" w:rsidRPr="00AB2FCA" w:rsidRDefault="00121C2F" w:rsidP="00121C2F">
      <w:r w:rsidRPr="00AB2FCA">
        <w:t xml:space="preserve">The integration of AI/ML techniques with traditional physics-based simulations heralds a transformative era for conceptual design within automotive, motorsport, and energy industries. These fusion promises to </w:t>
      </w:r>
      <w:proofErr w:type="spellStart"/>
      <w:r w:rsidRPr="00AB2FCA">
        <w:t>catalyze</w:t>
      </w:r>
      <w:proofErr w:type="spellEnd"/>
      <w:r w:rsidRPr="00AB2FCA">
        <w:t xml:space="preserve"> design innovation, accelerate iteration cycles, and propel the development of more sustainable technologies. Through collaborative efforts with our customers, we've discerned fundamental computing patterns essential for effectively marrying these domains</w:t>
      </w:r>
      <w:r w:rsidR="00C93D37" w:rsidRPr="00AB2FCA">
        <w:t>, specifically for simulation driven design optimisation.</w:t>
      </w:r>
    </w:p>
    <w:p w:rsidR="00121C2F" w:rsidRPr="00AB2FCA" w:rsidRDefault="00121C2F" w:rsidP="00121C2F">
      <w:r w:rsidRPr="00AB2FCA">
        <w:t xml:space="preserve">Foremost among these patterns is the need to orchestrate dynamic pipelines, characterized by a dynamic directed acyclic graph (DAG) where the execution path isn't predetermined but is instead determined by predictive </w:t>
      </w:r>
      <w:proofErr w:type="spellStart"/>
      <w:r w:rsidRPr="00AB2FCA">
        <w:t>modeling</w:t>
      </w:r>
      <w:proofErr w:type="spellEnd"/>
      <w:r w:rsidRPr="00AB2FCA">
        <w:t xml:space="preserve"> algorithms at runtime. Additionally, the capability to run tasks within pipelines asynchronously is crucial for maximizing task parallelization, thereby optimizing computational efficiency. </w:t>
      </w:r>
    </w:p>
    <w:p w:rsidR="00121C2F" w:rsidRPr="00AB2FCA" w:rsidRDefault="00121C2F" w:rsidP="00121C2F">
      <w:r w:rsidRPr="00AB2FCA">
        <w:t>Furthermore, our customers demand the ability to execute models across heterogeneous compute architectures, from different languages and simulations, within a single workflow pipeline to harness the full potential of available computing resources. Equally important is ensuring traceability and auditability throughout the workflow to facilitate transparency and compliance.</w:t>
      </w:r>
    </w:p>
    <w:p w:rsidR="00A06F96" w:rsidRPr="00AB2FCA" w:rsidRDefault="00121C2F" w:rsidP="001D0404">
      <w:r w:rsidRPr="00AB2FCA">
        <w:t xml:space="preserve">These requirements span a hybrid combination of high-performance computing (HPC) and machine learning (ML) workloads, presenting challenges that transcend traditional techniques from either domain. In our upcoming session, we aim to delve into practical examples of how customers leverage simulation for engineering design optimization and scenario analysis. These examples encompass a spectrum of applications, including automotive manufacturing component simulation, system-level engineering design optimization for offshore wind farms, and the integration of Generative AI with CFD for vehicle design. Through these case studies, we aim to showcase the </w:t>
      </w:r>
      <w:r w:rsidRPr="00AB2FCA">
        <w:lastRenderedPageBreak/>
        <w:t>transformative potential of combining AI/ML techniques with traditional physics-based simulations in driving innovation across diverse industries.</w:t>
      </w:r>
    </w:p>
    <w:p w:rsidR="00121C2F" w:rsidRPr="00AB2FCA" w:rsidRDefault="00121C2F" w:rsidP="00121C2F">
      <w:pPr>
        <w:pStyle w:val="Heading1"/>
      </w:pPr>
      <w:r w:rsidRPr="00AB2FCA">
        <w:t xml:space="preserve">Simulation </w:t>
      </w:r>
      <w:r w:rsidR="00D436B1" w:rsidRPr="00AB2FCA">
        <w:t>d</w:t>
      </w:r>
      <w:r w:rsidRPr="00AB2FCA">
        <w:t xml:space="preserve">riven </w:t>
      </w:r>
      <w:r w:rsidR="00D436B1" w:rsidRPr="00AB2FCA">
        <w:t>d</w:t>
      </w:r>
      <w:r w:rsidRPr="00AB2FCA">
        <w:t xml:space="preserve">esign </w:t>
      </w:r>
      <w:r w:rsidR="00D436B1" w:rsidRPr="00AB2FCA">
        <w:t>o</w:t>
      </w:r>
      <w:r w:rsidRPr="00AB2FCA">
        <w:t>ptimisation</w:t>
      </w:r>
    </w:p>
    <w:p w:rsidR="00D436B1" w:rsidRPr="00AB2FCA" w:rsidRDefault="00121C2F" w:rsidP="00121C2F">
      <w:r w:rsidRPr="00AB2FCA">
        <w:t>Simulation driven design optimization is used by OEMs performing engineering design of equipment and processes. For example, manufacturers perform thousands of structural analysis simulations to optimize the physical design of subcomponents. Similarly, pharmaceutical companies use simulations to design the layout of new bioreactor manufacturing lines to optimize the yield.</w:t>
      </w:r>
    </w:p>
    <w:p w:rsidR="00D436B1" w:rsidRPr="00AB2FCA" w:rsidRDefault="00D436B1" w:rsidP="00D436B1">
      <w:pPr>
        <w:pStyle w:val="Heading1"/>
      </w:pPr>
      <w:r w:rsidRPr="00AB2FCA">
        <w:t>Example – Component injection trajectory</w:t>
      </w:r>
    </w:p>
    <w:p w:rsidR="00121C2F" w:rsidRPr="00AB2FCA" w:rsidRDefault="00121C2F" w:rsidP="00121C2F">
      <w:r w:rsidRPr="00AB2FCA">
        <w:t xml:space="preserve"> In </w:t>
      </w:r>
      <w:r w:rsidRPr="00AB2FCA">
        <w:fldChar w:fldCharType="begin"/>
      </w:r>
      <w:r w:rsidRPr="00AB2FCA">
        <w:instrText xml:space="preserve"> REF _Ref166068730 \h </w:instrText>
      </w:r>
      <w:r w:rsidRPr="00AB2FCA">
        <w:fldChar w:fldCharType="separate"/>
      </w:r>
      <w:r w:rsidRPr="00AB2FCA">
        <w:t>Fi</w:t>
      </w:r>
      <w:r w:rsidRPr="00AB2FCA">
        <w:t>g</w:t>
      </w:r>
      <w:r w:rsidRPr="00AB2FCA">
        <w:t>ure</w:t>
      </w:r>
      <w:r w:rsidRPr="00AB2FCA">
        <w:t xml:space="preserve"> </w:t>
      </w:r>
      <w:r w:rsidRPr="00AB2FCA">
        <w:rPr>
          <w:noProof/>
        </w:rPr>
        <w:t>1</w:t>
      </w:r>
      <w:r w:rsidRPr="00AB2FCA">
        <w:fldChar w:fldCharType="end"/>
      </w:r>
      <w:r w:rsidRPr="00AB2FCA">
        <w:t>, we show the results of a component-level engineering design optimization in an automotive use case involving injection of a liquid which hardens into a foam to provide structural strength for vehicle body panels. The challenge here is to find the optimal injection trajectory to maximize the contact surface, while minimizing void formation and foam wastage. TwinFlow is used to orchestrate 3 distinct models run on different compute infrastructure (foam growth on AWS Batch, trajectory optimizer on Docker, and trajectory perturbation on local Python) within the optimization algorithm. The optimization ran 1280 foam growth simulations, generating 11140 graph elements, with each simulation taking 9-11 min (including 5-6 min of post-processing).</w:t>
      </w:r>
    </w:p>
    <w:p w:rsidR="00121C2F" w:rsidRPr="00AB2FCA" w:rsidRDefault="00121C2F" w:rsidP="00121C2F">
      <w:pPr>
        <w:keepNext/>
      </w:pPr>
      <w:r w:rsidRPr="00AB2FCA">
        <w:t xml:space="preserve"> </w:t>
      </w:r>
      <w:r w:rsidRPr="00AB2FCA">
        <w:fldChar w:fldCharType="begin"/>
      </w:r>
      <w:r w:rsidRPr="00AB2FCA">
        <w:instrText xml:space="preserve"> INCLUDEPICTURE "https://d2908q01vomqb2.cloudfront.net/e6c3dd630428fd54834172b8fd2735fed9416da4/2023/06/05/AWS_TwinFlowBlog_Figure3a.jpg" \* MERGEFORMATINET </w:instrText>
      </w:r>
      <w:r w:rsidRPr="00AB2FCA">
        <w:fldChar w:fldCharType="separate"/>
      </w:r>
      <w:r w:rsidRPr="00AB2FCA">
        <w:rPr>
          <w:noProof/>
        </w:rPr>
        <w:drawing>
          <wp:inline distT="0" distB="0" distL="0" distR="0" wp14:anchorId="03B35EC0" wp14:editId="1346A021">
            <wp:extent cx="4785360" cy="2486660"/>
            <wp:effectExtent l="0" t="0" r="2540" b="2540"/>
            <wp:docPr id="1742198934" name="Picture 29" descr="Figure 3: a) Diagram showing structural elements of a vehicle, specifically the B-pillar which is modeled; b) Video showing a simulation run for the foam injection (click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gure 3: a) Diagram showing structural elements of a vehicle, specifically the B-pillar which is modeled; b) Video showing a simulation run for the foam injection (click 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5360" cy="2486660"/>
                    </a:xfrm>
                    <a:prstGeom prst="rect">
                      <a:avLst/>
                    </a:prstGeom>
                    <a:noFill/>
                    <a:ln>
                      <a:noFill/>
                    </a:ln>
                  </pic:spPr>
                </pic:pic>
              </a:graphicData>
            </a:graphic>
          </wp:inline>
        </w:drawing>
      </w:r>
      <w:r w:rsidRPr="00AB2FCA">
        <w:fldChar w:fldCharType="end"/>
      </w:r>
    </w:p>
    <w:p w:rsidR="00121C2F" w:rsidRPr="00AB2FCA" w:rsidRDefault="00121C2F" w:rsidP="00121C2F">
      <w:pPr>
        <w:pStyle w:val="Caption"/>
      </w:pPr>
      <w:bookmarkStart w:id="0" w:name="_Ref166068730"/>
      <w:r w:rsidRPr="00AB2FCA">
        <w:t xml:space="preserve">Figure </w:t>
      </w:r>
      <w:r w:rsidRPr="00AB2FCA">
        <w:fldChar w:fldCharType="begin"/>
      </w:r>
      <w:r w:rsidRPr="00AB2FCA">
        <w:instrText xml:space="preserve"> SEQ Figure \* ARABIC </w:instrText>
      </w:r>
      <w:r w:rsidRPr="00AB2FCA">
        <w:fldChar w:fldCharType="separate"/>
      </w:r>
      <w:r w:rsidR="00611BB8" w:rsidRPr="00AB2FCA">
        <w:rPr>
          <w:noProof/>
        </w:rPr>
        <w:t>1</w:t>
      </w:r>
      <w:r w:rsidRPr="00AB2FCA">
        <w:fldChar w:fldCharType="end"/>
      </w:r>
      <w:bookmarkEnd w:id="0"/>
      <w:r w:rsidRPr="00AB2FCA">
        <w:t xml:space="preserve"> a) Diagram showing structural elements of a vehicle, specifically the B-pillar which is </w:t>
      </w:r>
      <w:proofErr w:type="spellStart"/>
      <w:r w:rsidRPr="00AB2FCA">
        <w:t>modeled</w:t>
      </w:r>
      <w:proofErr w:type="spellEnd"/>
      <w:r w:rsidRPr="00AB2FCA">
        <w:t>; b) Video showing a simulation run for the foam injection (click video).</w:t>
      </w:r>
    </w:p>
    <w:p w:rsidR="00D436B1" w:rsidRPr="00AB2FCA" w:rsidRDefault="00D436B1" w:rsidP="00D436B1">
      <w:pPr>
        <w:pStyle w:val="Heading1"/>
      </w:pPr>
      <w:r w:rsidRPr="00AB2FCA">
        <w:lastRenderedPageBreak/>
        <w:t>Example – System-level engineering design</w:t>
      </w:r>
    </w:p>
    <w:p w:rsidR="00121C2F" w:rsidRPr="00AB2FCA" w:rsidRDefault="00121C2F" w:rsidP="00121C2F">
      <w:r w:rsidRPr="00AB2FCA">
        <w:t>In another example, we use TwinFlow for system-level engineering design optimization of an offshore wind farm (using the International Energy Association (IEA) benchmark IEA37 wind farm use case). The challenge here is to identify the optimal layout (geographic coordinates) of 64 wind turbines to maximize wind farm energy production, while taking into account the impact of the wake generated by each wind turbine within the wind farm. The approach uses an analytical wake model (</w:t>
      </w:r>
      <w:proofErr w:type="spellStart"/>
      <w:r w:rsidR="00C93D37" w:rsidRPr="00AB2FCA">
        <w:fldChar w:fldCharType="begin"/>
      </w:r>
      <w:r w:rsidR="00C93D37" w:rsidRPr="00AB2FCA">
        <w:instrText>HYPERLINK "https://www.sciencedirect.com/science/article/abs/pii/S0960148114000317"</w:instrText>
      </w:r>
      <w:r w:rsidR="00C93D37" w:rsidRPr="00AB2FCA">
        <w:fldChar w:fldCharType="separate"/>
      </w:r>
      <w:r w:rsidRPr="00AB2FCA">
        <w:rPr>
          <w:rStyle w:val="Hyperlink"/>
        </w:rPr>
        <w:t>Bastankhah</w:t>
      </w:r>
      <w:proofErr w:type="spellEnd"/>
      <w:r w:rsidRPr="00AB2FCA">
        <w:rPr>
          <w:rStyle w:val="Hyperlink"/>
        </w:rPr>
        <w:t xml:space="preserve"> &amp; Porte-</w:t>
      </w:r>
      <w:proofErr w:type="spellStart"/>
      <w:r w:rsidRPr="00AB2FCA">
        <w:rPr>
          <w:rStyle w:val="Hyperlink"/>
        </w:rPr>
        <w:t>Agel</w:t>
      </w:r>
      <w:proofErr w:type="spellEnd"/>
      <w:r w:rsidRPr="00AB2FCA">
        <w:rPr>
          <w:rStyle w:val="Hyperlink"/>
        </w:rPr>
        <w:t>, 2014</w:t>
      </w:r>
      <w:r w:rsidR="00C93D37" w:rsidRPr="00AB2FCA">
        <w:fldChar w:fldCharType="end"/>
      </w:r>
      <w:r w:rsidRPr="00AB2FCA">
        <w:t>), with added turbulence (</w:t>
      </w:r>
      <w:hyperlink r:id="rId9" w:history="1">
        <w:r w:rsidRPr="00AB2FCA">
          <w:rPr>
            <w:rStyle w:val="Hyperlink"/>
          </w:rPr>
          <w:t>Frandsen, 2017</w:t>
        </w:r>
      </w:hyperlink>
      <w:r w:rsidRPr="00AB2FCA">
        <w:t xml:space="preserve">) solved using the open-source </w:t>
      </w:r>
      <w:proofErr w:type="spellStart"/>
      <w:r w:rsidRPr="00AB2FCA">
        <w:t>PyWake</w:t>
      </w:r>
      <w:proofErr w:type="spellEnd"/>
      <w:r w:rsidRPr="00AB2FCA">
        <w:t xml:space="preserve"> package. </w:t>
      </w:r>
      <w:r w:rsidRPr="00AB2FCA">
        <w:fldChar w:fldCharType="begin"/>
      </w:r>
      <w:r w:rsidRPr="00AB2FCA">
        <w:instrText xml:space="preserve"> REF _Ref166068828 \h </w:instrText>
      </w:r>
      <w:r w:rsidRPr="00AB2FCA">
        <w:fldChar w:fldCharType="separate"/>
      </w:r>
      <w:r w:rsidRPr="00AB2FCA">
        <w:t xml:space="preserve">Figure </w:t>
      </w:r>
      <w:r w:rsidRPr="00AB2FCA">
        <w:rPr>
          <w:noProof/>
        </w:rPr>
        <w:t>2</w:t>
      </w:r>
      <w:r w:rsidRPr="00AB2FCA">
        <w:fldChar w:fldCharType="end"/>
      </w:r>
      <w:r w:rsidRPr="00AB2FCA">
        <w:t xml:space="preserve"> shows the simulation convergence curve.  The optimization took 450 iterations to converge and 18 minutes to run with an approximate runtime of 10 seconds per simulation.</w:t>
      </w:r>
    </w:p>
    <w:p w:rsidR="00121C2F" w:rsidRPr="00AB2FCA" w:rsidRDefault="00121C2F" w:rsidP="00121C2F">
      <w:pPr>
        <w:keepNext/>
      </w:pPr>
      <w:r w:rsidRPr="00AB2FCA">
        <w:t xml:space="preserve"> </w:t>
      </w:r>
      <w:r w:rsidRPr="00AB2FCA">
        <w:fldChar w:fldCharType="begin"/>
      </w:r>
      <w:r w:rsidRPr="00AB2FCA">
        <w:instrText xml:space="preserve"> INCLUDEPICTURE "https://d2908q01vomqb2.cloudfront.net/e6c3dd630428fd54834172b8fd2735fed9416da4/2023/06/05/AWS_TwinFlowBlog_Figure4b.jpg" \* MERGEFORMATINET </w:instrText>
      </w:r>
      <w:r w:rsidRPr="00AB2FCA">
        <w:fldChar w:fldCharType="separate"/>
      </w:r>
      <w:r w:rsidRPr="00AB2FCA">
        <w:rPr>
          <w:noProof/>
        </w:rPr>
        <w:drawing>
          <wp:inline distT="0" distB="0" distL="0" distR="0" wp14:anchorId="1A46796E" wp14:editId="1CAD2783">
            <wp:extent cx="4341495" cy="2999740"/>
            <wp:effectExtent l="0" t="0" r="1905" b="0"/>
            <wp:docPr id="10524565" name="Picture 28" descr="Figure 4: b) Graph showing the convergence of the simulation to maximize wind farm energy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igure 4: b) Graph showing the convergence of the simulation to maximize wind farm energy prod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1495" cy="2999740"/>
                    </a:xfrm>
                    <a:prstGeom prst="rect">
                      <a:avLst/>
                    </a:prstGeom>
                    <a:noFill/>
                    <a:ln>
                      <a:noFill/>
                    </a:ln>
                  </pic:spPr>
                </pic:pic>
              </a:graphicData>
            </a:graphic>
          </wp:inline>
        </w:drawing>
      </w:r>
      <w:r w:rsidRPr="00AB2FCA">
        <w:fldChar w:fldCharType="end"/>
      </w:r>
    </w:p>
    <w:p w:rsidR="00121C2F" w:rsidRPr="00AB2FCA" w:rsidRDefault="00121C2F" w:rsidP="00121C2F">
      <w:pPr>
        <w:pStyle w:val="Caption"/>
      </w:pPr>
      <w:bookmarkStart w:id="1" w:name="_Ref166068828"/>
      <w:r w:rsidRPr="00AB2FCA">
        <w:t xml:space="preserve">Figure </w:t>
      </w:r>
      <w:r w:rsidRPr="00AB2FCA">
        <w:fldChar w:fldCharType="begin"/>
      </w:r>
      <w:r w:rsidRPr="00AB2FCA">
        <w:instrText xml:space="preserve"> SEQ Figure \* ARABIC </w:instrText>
      </w:r>
      <w:r w:rsidRPr="00AB2FCA">
        <w:fldChar w:fldCharType="separate"/>
      </w:r>
      <w:r w:rsidR="00611BB8" w:rsidRPr="00AB2FCA">
        <w:rPr>
          <w:noProof/>
        </w:rPr>
        <w:t>2</w:t>
      </w:r>
      <w:r w:rsidRPr="00AB2FCA">
        <w:fldChar w:fldCharType="end"/>
      </w:r>
      <w:bookmarkEnd w:id="1"/>
      <w:r w:rsidRPr="00AB2FCA">
        <w:t xml:space="preserve"> Graph showing the convergence of the simulation to maximize wind farm energy production.</w:t>
      </w:r>
    </w:p>
    <w:p w:rsidR="00C93D37" w:rsidRPr="00AB2FCA" w:rsidRDefault="00D436B1" w:rsidP="00D436B1">
      <w:pPr>
        <w:pStyle w:val="Heading1"/>
      </w:pPr>
      <w:r w:rsidRPr="00AB2FCA">
        <w:t xml:space="preserve">Example – combining </w:t>
      </w:r>
      <w:proofErr w:type="spellStart"/>
      <w:r w:rsidRPr="00AB2FCA">
        <w:t>GenAI</w:t>
      </w:r>
      <w:proofErr w:type="spellEnd"/>
      <w:r w:rsidRPr="00AB2FCA">
        <w:t>, ML and computational physics</w:t>
      </w:r>
    </w:p>
    <w:p w:rsidR="00AB2FCA" w:rsidRPr="00AB2FCA" w:rsidRDefault="00AB2FCA" w:rsidP="00AB2FCA">
      <w:r w:rsidRPr="00AB2FCA">
        <w:t xml:space="preserve">Finally, </w:t>
      </w:r>
      <w:r w:rsidRPr="00AB2FCA">
        <w:t>we’ll demonstrate how </w:t>
      </w:r>
      <w:hyperlink r:id="rId11" w:history="1">
        <w:r w:rsidRPr="00AB2FCA">
          <w:rPr>
            <w:rStyle w:val="Hyperlink"/>
            <w:color w:val="0972D3"/>
          </w:rPr>
          <w:t>generative AI</w:t>
        </w:r>
      </w:hyperlink>
      <w:r w:rsidRPr="00AB2FCA">
        <w:t> techniques can be combined with conventional physics-based </w:t>
      </w:r>
      <w:hyperlink r:id="rId12" w:history="1">
        <w:r w:rsidRPr="00AB2FCA">
          <w:rPr>
            <w:rStyle w:val="Hyperlink"/>
            <w:color w:val="0972D3"/>
          </w:rPr>
          <w:t>computational fluid dynamics</w:t>
        </w:r>
      </w:hyperlink>
      <w:r w:rsidRPr="00AB2FCA">
        <w:t> (CFD) simulations to create a rapid conceptual design process that can be used to explore new design concepts in the automotive, motorsport, and aerospace sectors from just a single image.</w:t>
      </w:r>
    </w:p>
    <w:p w:rsidR="00611BB8" w:rsidRPr="00AB2FCA" w:rsidRDefault="00611BB8" w:rsidP="00611BB8"/>
    <w:p w:rsidR="00611BB8" w:rsidRPr="00AB2FCA" w:rsidRDefault="00611BB8" w:rsidP="00611BB8">
      <w:pPr>
        <w:keepNext/>
      </w:pPr>
      <w:r w:rsidRPr="00AB2FCA">
        <w:lastRenderedPageBreak/>
        <w:fldChar w:fldCharType="begin"/>
      </w:r>
      <w:r w:rsidRPr="00AB2FCA">
        <w:instrText xml:space="preserve"> INCLUDEPICTURE "https://d2908q01vomqb2.cloudfront.net/e6c3dd630428fd54834172b8fd2735fed9416da4/2023/09/26/CleanShot-2023-09-26-at-11.25.21@2x.png" \* MERGEFORMATINET </w:instrText>
      </w:r>
      <w:r w:rsidRPr="00AB2FCA">
        <w:fldChar w:fldCharType="separate"/>
      </w:r>
      <w:r w:rsidRPr="00AB2FCA">
        <w:rPr>
          <w:noProof/>
        </w:rPr>
        <w:drawing>
          <wp:inline distT="0" distB="0" distL="0" distR="0" wp14:anchorId="6A7425DF" wp14:editId="04DDB9AD">
            <wp:extent cx="5731510" cy="1784985"/>
            <wp:effectExtent l="0" t="0" r="0" b="5715"/>
            <wp:docPr id="1876007553" name="Picture 14" descr="Figure 1: Overall workflow for iterative design optimization of car aerodynamics by combining Generative AI techniques and Computational Fluid Dynamics sim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igure 1: Overall workflow for iterative design optimization of car aerodynamics by combining Generative AI techniques and Computational Fluid Dynamics simulati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1784985"/>
                    </a:xfrm>
                    <a:prstGeom prst="rect">
                      <a:avLst/>
                    </a:prstGeom>
                    <a:noFill/>
                    <a:ln>
                      <a:noFill/>
                    </a:ln>
                  </pic:spPr>
                </pic:pic>
              </a:graphicData>
            </a:graphic>
          </wp:inline>
        </w:drawing>
      </w:r>
      <w:r w:rsidRPr="00AB2FCA">
        <w:fldChar w:fldCharType="end"/>
      </w:r>
    </w:p>
    <w:p w:rsidR="00611BB8" w:rsidRPr="00AB2FCA" w:rsidRDefault="00611BB8" w:rsidP="00611BB8">
      <w:pPr>
        <w:pStyle w:val="Caption"/>
      </w:pPr>
      <w:r w:rsidRPr="00AB2FCA">
        <w:t xml:space="preserve">Figure </w:t>
      </w:r>
      <w:r w:rsidRPr="00AB2FCA">
        <w:fldChar w:fldCharType="begin"/>
      </w:r>
      <w:r w:rsidRPr="00AB2FCA">
        <w:instrText xml:space="preserve"> SEQ Figure \* ARABIC </w:instrText>
      </w:r>
      <w:r w:rsidRPr="00AB2FCA">
        <w:fldChar w:fldCharType="separate"/>
      </w:r>
      <w:r w:rsidRPr="00AB2FCA">
        <w:rPr>
          <w:noProof/>
        </w:rPr>
        <w:t>3</w:t>
      </w:r>
      <w:r w:rsidRPr="00AB2FCA">
        <w:fldChar w:fldCharType="end"/>
      </w:r>
      <w:r w:rsidRPr="00AB2FCA">
        <w:t xml:space="preserve"> Overall workflow for iterative design optimization of car aerodynamics by combining Generative AI techniques and Computational Fluid Dynamics simulations</w:t>
      </w:r>
    </w:p>
    <w:p w:rsidR="00AB2FCA" w:rsidRPr="00AB2FCA" w:rsidRDefault="00AB2FCA" w:rsidP="00AB2FCA">
      <w:pPr>
        <w:pStyle w:val="NormalWeb"/>
        <w:spacing w:before="225" w:beforeAutospacing="0" w:after="225" w:afterAutospacing="0"/>
        <w:rPr>
          <w:lang w:val="en-GB"/>
        </w:rPr>
      </w:pPr>
      <w:r w:rsidRPr="00AB2FCA">
        <w:rPr>
          <w:lang w:val="en-GB"/>
        </w:rPr>
        <w:t xml:space="preserve">The overall workflow has five key components: image generation, Stable Diffusion, point-cloud with </w:t>
      </w:r>
      <w:proofErr w:type="spellStart"/>
      <w:r w:rsidRPr="00AB2FCA">
        <w:rPr>
          <w:lang w:val="en-GB"/>
        </w:rPr>
        <w:t>NeRF</w:t>
      </w:r>
      <w:proofErr w:type="spellEnd"/>
      <w:r w:rsidRPr="00AB2FCA">
        <w:rPr>
          <w:lang w:val="en-GB"/>
        </w:rPr>
        <w:t xml:space="preserve">, mesh generation with Open3d and NKSR, and finally the </w:t>
      </w:r>
      <w:proofErr w:type="spellStart"/>
      <w:r w:rsidRPr="00AB2FCA">
        <w:rPr>
          <w:lang w:val="en-GB"/>
        </w:rPr>
        <w:t>OpenFoam</w:t>
      </w:r>
      <w:proofErr w:type="spellEnd"/>
      <w:r w:rsidRPr="00AB2FCA">
        <w:rPr>
          <w:lang w:val="en-GB"/>
        </w:rPr>
        <w:t xml:space="preserve"> CFD simulation. Each of these are containerized and orchestrated by the </w:t>
      </w:r>
      <w:hyperlink r:id="rId14" w:history="1">
        <w:r w:rsidRPr="00AB2FCA">
          <w:rPr>
            <w:rStyle w:val="Hyperlink"/>
            <w:color w:val="0972D3"/>
            <w:lang w:val="en-GB"/>
          </w:rPr>
          <w:t>TwinGraph</w:t>
        </w:r>
      </w:hyperlink>
      <w:r w:rsidRPr="00AB2FCA">
        <w:rPr>
          <w:lang w:val="en-GB"/>
        </w:rPr>
        <w:t> orchestration module within the </w:t>
      </w:r>
      <w:hyperlink r:id="rId15" w:history="1">
        <w:r w:rsidRPr="00AB2FCA">
          <w:rPr>
            <w:rStyle w:val="Hyperlink"/>
            <w:color w:val="0972D3"/>
            <w:lang w:val="en-GB"/>
          </w:rPr>
          <w:t>TwinFlow framework</w:t>
        </w:r>
      </w:hyperlink>
      <w:r w:rsidRPr="00AB2FCA">
        <w:rPr>
          <w:lang w:val="en-GB"/>
        </w:rPr>
        <w:t>.</w:t>
      </w:r>
    </w:p>
    <w:p w:rsidR="00AB2FCA" w:rsidRPr="00AB2FCA" w:rsidRDefault="00AB2FCA" w:rsidP="00AB2FCA">
      <w:pPr>
        <w:pStyle w:val="NormalWeb"/>
        <w:spacing w:before="225" w:beforeAutospacing="0" w:after="225" w:afterAutospacing="0"/>
        <w:rPr>
          <w:lang w:val="en-GB"/>
        </w:rPr>
      </w:pPr>
      <w:r w:rsidRPr="00AB2FCA">
        <w:rPr>
          <w:lang w:val="en-GB"/>
        </w:rPr>
        <w:t>We deployed this workflow by using </w:t>
      </w:r>
      <w:hyperlink r:id="rId16" w:history="1">
        <w:r w:rsidRPr="00AB2FCA">
          <w:rPr>
            <w:rStyle w:val="Hyperlink"/>
            <w:color w:val="0972D3"/>
            <w:lang w:val="en-GB"/>
          </w:rPr>
          <w:t>AWS Batch</w:t>
        </w:r>
      </w:hyperlink>
      <w:r w:rsidRPr="00AB2FCA">
        <w:rPr>
          <w:lang w:val="en-GB"/>
        </w:rPr>
        <w:t> and scaled it as needed to find the optimal designs. We repeated the experiment for a number of generated images across multiple cycles, and uploaded the results from each experiment automatically to </w:t>
      </w:r>
      <w:hyperlink r:id="rId17" w:history="1">
        <w:r w:rsidRPr="00AB2FCA">
          <w:rPr>
            <w:rStyle w:val="Hyperlink"/>
            <w:color w:val="0972D3"/>
            <w:lang w:val="en-GB"/>
          </w:rPr>
          <w:t>Amazon Simple Storage Service (Amazon S3)</w:t>
        </w:r>
      </w:hyperlink>
      <w:r w:rsidRPr="00AB2FCA">
        <w:rPr>
          <w:lang w:val="en-GB"/>
        </w:rPr>
        <w:t>. The necessary meta-data provenance information from each experiment was automatically uploaded to an </w:t>
      </w:r>
      <w:hyperlink r:id="rId18" w:history="1">
        <w:r w:rsidRPr="00AB2FCA">
          <w:rPr>
            <w:rStyle w:val="Hyperlink"/>
            <w:color w:val="0972D3"/>
            <w:lang w:val="en-GB"/>
          </w:rPr>
          <w:t>Amazon Neptune</w:t>
        </w:r>
      </w:hyperlink>
      <w:r w:rsidRPr="00AB2FCA">
        <w:rPr>
          <w:lang w:val="en-GB"/>
        </w:rPr>
        <w:t> graph database for the subsequent analysis.</w:t>
      </w:r>
    </w:p>
    <w:p w:rsidR="00AB2FCA" w:rsidRPr="00AB2FCA" w:rsidRDefault="00AB2FCA" w:rsidP="00AB2FCA">
      <w:pPr>
        <w:pStyle w:val="NormalWeb"/>
        <w:spacing w:before="225" w:beforeAutospacing="0" w:after="225" w:afterAutospacing="0"/>
        <w:rPr>
          <w:lang w:val="en-GB"/>
        </w:rPr>
      </w:pPr>
      <w:r w:rsidRPr="00AB2FCA">
        <w:rPr>
          <w:lang w:val="en-GB"/>
        </w:rPr>
        <w:fldChar w:fldCharType="begin"/>
      </w:r>
      <w:r w:rsidRPr="00AB2FCA">
        <w:rPr>
          <w:lang w:val="en-GB"/>
        </w:rPr>
        <w:instrText xml:space="preserve"> INCLUDEPICTURE "https://d2908q01vomqb2.cloudfront.net/e6c3dd630428fd54834172b8fd2735fed9416da4/2023/09/26/CleanShot-2023-09-26-at-11.33.34@2x.png" \* MERGEFORMATINET </w:instrText>
      </w:r>
      <w:r w:rsidRPr="00AB2FCA">
        <w:rPr>
          <w:lang w:val="en-GB"/>
        </w:rPr>
        <w:fldChar w:fldCharType="separate"/>
      </w:r>
      <w:r w:rsidRPr="00AB2FCA">
        <w:rPr>
          <w:noProof/>
          <w:lang w:val="en-GB"/>
        </w:rPr>
        <w:drawing>
          <wp:inline distT="0" distB="0" distL="0" distR="0" wp14:anchorId="0BB63E5F" wp14:editId="69837F0D">
            <wp:extent cx="2427005" cy="1469486"/>
            <wp:effectExtent l="0" t="0" r="0" b="3810"/>
            <wp:docPr id="215949574" name="Picture 10" descr="Figure 7: Minimum drag coefficients per generation, corresponding to the image variants used to create the subsequent generation of variants. The general downward trend, though non-monotonic due to intermediate car configurations, is indicative that the pipeline improves the drag performance of the best variant through the gen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igure 7: Minimum drag coefficients per generation, corresponding to the image variants used to create the subsequent generation of variants. The general downward trend, though non-monotonic due to intermediate car configurations, is indicative that the pipeline improves the drag performance of the best variant through the generation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39632" cy="1477131"/>
                    </a:xfrm>
                    <a:prstGeom prst="rect">
                      <a:avLst/>
                    </a:prstGeom>
                    <a:noFill/>
                    <a:ln>
                      <a:noFill/>
                    </a:ln>
                  </pic:spPr>
                </pic:pic>
              </a:graphicData>
            </a:graphic>
          </wp:inline>
        </w:drawing>
      </w:r>
      <w:r w:rsidRPr="00AB2FCA">
        <w:rPr>
          <w:lang w:val="en-GB"/>
        </w:rPr>
        <w:fldChar w:fldCharType="end"/>
      </w:r>
      <w:r w:rsidR="001D4B0C">
        <w:fldChar w:fldCharType="begin"/>
      </w:r>
      <w:r w:rsidR="001D4B0C">
        <w:instrText xml:space="preserve"> INCLUDEPICTURE "https://d2908q01vomqb2.cloudfront.net/e6c3dd630428fd54834172b8fd2735fed9416da4/2023/09/26/Figure9-converted.gif" \* MERGEFORMATINET </w:instrText>
      </w:r>
      <w:r w:rsidR="001D4B0C">
        <w:fldChar w:fldCharType="separate"/>
      </w:r>
      <w:r w:rsidR="001D4B0C">
        <w:rPr>
          <w:noProof/>
        </w:rPr>
        <w:drawing>
          <wp:inline distT="0" distB="0" distL="0" distR="0" wp14:anchorId="524ED236" wp14:editId="34E35469">
            <wp:extent cx="2426970" cy="1779492"/>
            <wp:effectExtent l="0" t="0" r="0" b="0"/>
            <wp:docPr id="246305251" name="Picture 8" descr="Figure 9: Sequence of transitions through the generations for the optimal variant in drag coefficient, demonstrating a smoothing of the hood of the car, a reduced angle of wind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igure 9: Sequence of transitions through the generations for the optimal variant in drag coefficient, demonstrating a smoothing of the hood of the car, a reduced angle of windshiel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2526" cy="1805562"/>
                    </a:xfrm>
                    <a:prstGeom prst="rect">
                      <a:avLst/>
                    </a:prstGeom>
                    <a:noFill/>
                    <a:ln>
                      <a:noFill/>
                    </a:ln>
                  </pic:spPr>
                </pic:pic>
              </a:graphicData>
            </a:graphic>
          </wp:inline>
        </w:drawing>
      </w:r>
      <w:r w:rsidR="001D4B0C">
        <w:fldChar w:fldCharType="end"/>
      </w:r>
    </w:p>
    <w:p w:rsidR="00AB2FCA" w:rsidRPr="00AB2FCA" w:rsidRDefault="00CE41A4" w:rsidP="00AB2FCA">
      <w:pPr>
        <w:pStyle w:val="NormalWeb"/>
        <w:spacing w:before="225" w:beforeAutospacing="0" w:after="225" w:afterAutospacing="0"/>
        <w:rPr>
          <w:lang w:val="en-GB"/>
        </w:rPr>
      </w:pPr>
      <w:r>
        <w:t xml:space="preserve">This </w:t>
      </w:r>
      <w:proofErr w:type="spellStart"/>
      <w:r>
        <w:t>figure</w:t>
      </w:r>
      <w:proofErr w:type="spellEnd"/>
      <w:r>
        <w:t xml:space="preserve"> </w:t>
      </w:r>
      <w:proofErr w:type="spellStart"/>
      <w:r>
        <w:t>provides</w:t>
      </w:r>
      <w:proofErr w:type="spellEnd"/>
      <w:r>
        <w:t xml:space="preserve"> </w:t>
      </w:r>
      <w:proofErr w:type="spellStart"/>
      <w:r>
        <w:t>insights</w:t>
      </w:r>
      <w:proofErr w:type="spellEnd"/>
      <w:r>
        <w:t xml:space="preserve"> </w:t>
      </w:r>
      <w:proofErr w:type="spellStart"/>
      <w:r>
        <w:t>into</w:t>
      </w:r>
      <w:proofErr w:type="spellEnd"/>
      <w:r>
        <w:t xml:space="preserve"> </w:t>
      </w:r>
      <w:proofErr w:type="spellStart"/>
      <w:r>
        <w:t>the</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car</w:t>
      </w:r>
      <w:proofErr w:type="spellEnd"/>
      <w:r>
        <w:t xml:space="preserve"> design </w:t>
      </w:r>
      <w:proofErr w:type="spellStart"/>
      <w:r>
        <w:t>across</w:t>
      </w:r>
      <w:proofErr w:type="spellEnd"/>
      <w:r>
        <w:t xml:space="preserve"> </w:t>
      </w:r>
      <w:proofErr w:type="spellStart"/>
      <w:r>
        <w:t>generations</w:t>
      </w:r>
      <w:proofErr w:type="spellEnd"/>
      <w:r>
        <w:t xml:space="preserve">. The </w:t>
      </w:r>
      <w:proofErr w:type="spellStart"/>
      <w:r>
        <w:t>hood</w:t>
      </w:r>
      <w:proofErr w:type="spellEnd"/>
      <w:r>
        <w:t xml:space="preserve"> </w:t>
      </w:r>
      <w:proofErr w:type="spellStart"/>
      <w:r>
        <w:t>of</w:t>
      </w:r>
      <w:proofErr w:type="spellEnd"/>
      <w:r>
        <w:t xml:space="preserve"> </w:t>
      </w:r>
      <w:proofErr w:type="spellStart"/>
      <w:r>
        <w:t>the</w:t>
      </w:r>
      <w:proofErr w:type="spellEnd"/>
      <w:r>
        <w:t xml:space="preserve"> </w:t>
      </w:r>
      <w:proofErr w:type="spellStart"/>
      <w:r>
        <w:t>car</w:t>
      </w:r>
      <w:proofErr w:type="spellEnd"/>
      <w:r>
        <w:t xml:space="preserve"> </w:t>
      </w:r>
      <w:proofErr w:type="spellStart"/>
      <w:r>
        <w:t>adapts</w:t>
      </w:r>
      <w:proofErr w:type="spellEnd"/>
      <w:r>
        <w:t xml:space="preserve"> </w:t>
      </w:r>
      <w:proofErr w:type="spellStart"/>
      <w:r>
        <w:t>to</w:t>
      </w:r>
      <w:proofErr w:type="spellEnd"/>
      <w:r>
        <w:t xml:space="preserve"> a </w:t>
      </w:r>
      <w:proofErr w:type="spellStart"/>
      <w:r>
        <w:t>curved</w:t>
      </w:r>
      <w:proofErr w:type="spellEnd"/>
      <w:r>
        <w:t xml:space="preserve"> </w:t>
      </w:r>
      <w:proofErr w:type="spellStart"/>
      <w:r>
        <w:t>shape</w:t>
      </w:r>
      <w:proofErr w:type="spellEnd"/>
      <w:r>
        <w:t xml:space="preserve"> </w:t>
      </w:r>
      <w:proofErr w:type="spellStart"/>
      <w:r>
        <w:t>with</w:t>
      </w:r>
      <w:proofErr w:type="spellEnd"/>
      <w:r>
        <w:t xml:space="preserve"> </w:t>
      </w:r>
      <w:proofErr w:type="spellStart"/>
      <w:r>
        <w:t>considerable</w:t>
      </w:r>
      <w:proofErr w:type="spellEnd"/>
      <w:r>
        <w:t xml:space="preserve"> </w:t>
      </w:r>
      <w:proofErr w:type="spellStart"/>
      <w:r>
        <w:t>removal</w:t>
      </w:r>
      <w:proofErr w:type="spellEnd"/>
      <w:r>
        <w:t xml:space="preserve"> </w:t>
      </w:r>
      <w:proofErr w:type="spellStart"/>
      <w:r>
        <w:t>of</w:t>
      </w:r>
      <w:proofErr w:type="spellEnd"/>
      <w:r>
        <w:t xml:space="preserve"> </w:t>
      </w:r>
      <w:proofErr w:type="spellStart"/>
      <w:r>
        <w:t>material</w:t>
      </w:r>
      <w:proofErr w:type="spellEnd"/>
      <w:r>
        <w:t xml:space="preserve">. Also, </w:t>
      </w:r>
      <w:proofErr w:type="spellStart"/>
      <w:r>
        <w:t>the</w:t>
      </w:r>
      <w:proofErr w:type="spellEnd"/>
      <w:r>
        <w:t xml:space="preserve"> angle </w:t>
      </w:r>
      <w:proofErr w:type="spellStart"/>
      <w:r>
        <w:t>of</w:t>
      </w:r>
      <w:proofErr w:type="spellEnd"/>
      <w:r>
        <w:t xml:space="preserve"> </w:t>
      </w:r>
      <w:proofErr w:type="spellStart"/>
      <w:r>
        <w:t>the</w:t>
      </w:r>
      <w:proofErr w:type="spellEnd"/>
      <w:r>
        <w:t xml:space="preserve"> </w:t>
      </w:r>
      <w:proofErr w:type="spellStart"/>
      <w:r>
        <w:t>windshield</w:t>
      </w:r>
      <w:proofErr w:type="spellEnd"/>
      <w:r>
        <w:t xml:space="preserve"> </w:t>
      </w:r>
      <w:proofErr w:type="spellStart"/>
      <w:r>
        <w:t>to</w:t>
      </w:r>
      <w:proofErr w:type="spellEnd"/>
      <w:r>
        <w:t xml:space="preserve"> </w:t>
      </w:r>
      <w:proofErr w:type="spellStart"/>
      <w:r>
        <w:t>the</w:t>
      </w:r>
      <w:proofErr w:type="spellEnd"/>
      <w:r>
        <w:t xml:space="preserve"> </w:t>
      </w:r>
      <w:proofErr w:type="spellStart"/>
      <w:r>
        <w:t>horizon</w:t>
      </w:r>
      <w:proofErr w:type="spellEnd"/>
      <w:r>
        <w:t xml:space="preserve"> </w:t>
      </w:r>
      <w:proofErr w:type="spellStart"/>
      <w:r>
        <w:t>reduces</w:t>
      </w:r>
      <w:proofErr w:type="spellEnd"/>
      <w:r>
        <w:t xml:space="preserve"> and </w:t>
      </w:r>
      <w:proofErr w:type="spellStart"/>
      <w:r>
        <w:t>there</w:t>
      </w:r>
      <w:proofErr w:type="spellEnd"/>
      <w:r>
        <w:t xml:space="preserve"> </w:t>
      </w:r>
      <w:proofErr w:type="spellStart"/>
      <w:r>
        <w:t>are</w:t>
      </w:r>
      <w:proofErr w:type="spellEnd"/>
      <w:r>
        <w:t xml:space="preserve"> </w:t>
      </w:r>
      <w:proofErr w:type="spellStart"/>
      <w:r>
        <w:t>slight</w:t>
      </w:r>
      <w:proofErr w:type="spellEnd"/>
      <w:r>
        <w:t xml:space="preserve"> </w:t>
      </w:r>
      <w:proofErr w:type="spellStart"/>
      <w:r>
        <w:t>changes</w:t>
      </w:r>
      <w:proofErr w:type="spellEnd"/>
      <w:r>
        <w:t xml:space="preserve"> in </w:t>
      </w:r>
      <w:proofErr w:type="spellStart"/>
      <w:r>
        <w:t>the</w:t>
      </w:r>
      <w:proofErr w:type="spellEnd"/>
      <w:r>
        <w:t xml:space="preserve"> </w:t>
      </w:r>
      <w:proofErr w:type="spellStart"/>
      <w:r>
        <w:t>curvature</w:t>
      </w:r>
      <w:proofErr w:type="spellEnd"/>
      <w:r>
        <w:t xml:space="preserve"> </w:t>
      </w:r>
      <w:proofErr w:type="spellStart"/>
      <w:r>
        <w:t>of</w:t>
      </w:r>
      <w:proofErr w:type="spellEnd"/>
      <w:r>
        <w:t xml:space="preserve"> </w:t>
      </w:r>
      <w:proofErr w:type="spellStart"/>
      <w:r>
        <w:t>the</w:t>
      </w:r>
      <w:proofErr w:type="spellEnd"/>
      <w:r>
        <w:t xml:space="preserve"> </w:t>
      </w:r>
      <w:proofErr w:type="spellStart"/>
      <w:r>
        <w:t>car’s</w:t>
      </w:r>
      <w:proofErr w:type="spellEnd"/>
      <w:r>
        <w:t xml:space="preserve"> </w:t>
      </w:r>
      <w:proofErr w:type="spellStart"/>
      <w:r>
        <w:t>rear</w:t>
      </w:r>
      <w:proofErr w:type="spellEnd"/>
      <w:r>
        <w:t xml:space="preserve"> </w:t>
      </w:r>
      <w:proofErr w:type="spellStart"/>
      <w:r>
        <w:t>section</w:t>
      </w:r>
      <w:proofErr w:type="spellEnd"/>
      <w:r>
        <w:t xml:space="preserve">. Overall </w:t>
      </w:r>
      <w:proofErr w:type="spellStart"/>
      <w:r>
        <w:t>these</w:t>
      </w:r>
      <w:proofErr w:type="spellEnd"/>
      <w:r>
        <w:t xml:space="preserve"> </w:t>
      </w:r>
      <w:proofErr w:type="spellStart"/>
      <w:r>
        <w:t>are</w:t>
      </w:r>
      <w:proofErr w:type="spellEnd"/>
      <w:r>
        <w:t xml:space="preserve"> </w:t>
      </w:r>
      <w:proofErr w:type="spellStart"/>
      <w:r>
        <w:t>subtle</w:t>
      </w:r>
      <w:proofErr w:type="spellEnd"/>
      <w:r>
        <w:t xml:space="preserve">, </w:t>
      </w:r>
      <w:proofErr w:type="spellStart"/>
      <w:r>
        <w:t>yet</w:t>
      </w:r>
      <w:proofErr w:type="spellEnd"/>
      <w:r>
        <w:t xml:space="preserve"> </w:t>
      </w:r>
      <w:proofErr w:type="spellStart"/>
      <w:r>
        <w:t>significant</w:t>
      </w:r>
      <w:proofErr w:type="spellEnd"/>
      <w:r>
        <w:t xml:space="preserve">, </w:t>
      </w:r>
      <w:proofErr w:type="spellStart"/>
      <w:r>
        <w:t>changes</w:t>
      </w:r>
      <w:proofErr w:type="spellEnd"/>
      <w:r>
        <w:t xml:space="preserve"> </w:t>
      </w:r>
      <w:proofErr w:type="spellStart"/>
      <w:r>
        <w:t>driven</w:t>
      </w:r>
      <w:proofErr w:type="spellEnd"/>
      <w:r>
        <w:t xml:space="preserve"> </w:t>
      </w:r>
      <w:proofErr w:type="spellStart"/>
      <w:r>
        <w:t>by</w:t>
      </w:r>
      <w:proofErr w:type="spellEnd"/>
      <w:r>
        <w:t xml:space="preserve"> a generative AI </w:t>
      </w:r>
      <w:proofErr w:type="spellStart"/>
      <w:r>
        <w:t>process</w:t>
      </w:r>
      <w:proofErr w:type="spellEnd"/>
      <w:r>
        <w:t xml:space="preserve"> </w:t>
      </w:r>
      <w:proofErr w:type="spellStart"/>
      <w:r>
        <w:t>demonstrating</w:t>
      </w:r>
      <w:proofErr w:type="spellEnd"/>
      <w:r>
        <w:t xml:space="preserve"> </w:t>
      </w:r>
      <w:proofErr w:type="spellStart"/>
      <w:r>
        <w:t>the</w:t>
      </w:r>
      <w:proofErr w:type="spellEnd"/>
      <w:r>
        <w:t xml:space="preserve"> potential </w:t>
      </w:r>
      <w:proofErr w:type="spellStart"/>
      <w:r>
        <w:t>for</w:t>
      </w:r>
      <w:proofErr w:type="spellEnd"/>
      <w:r>
        <w:t xml:space="preserve"> </w:t>
      </w:r>
      <w:proofErr w:type="spellStart"/>
      <w:r>
        <w:t>guiding</w:t>
      </w:r>
      <w:proofErr w:type="spellEnd"/>
      <w:r>
        <w:t xml:space="preserve"> and </w:t>
      </w:r>
      <w:proofErr w:type="spellStart"/>
      <w:r>
        <w:t>making</w:t>
      </w:r>
      <w:proofErr w:type="spellEnd"/>
      <w:r>
        <w:t xml:space="preserve"> </w:t>
      </w:r>
      <w:proofErr w:type="spellStart"/>
      <w:r>
        <w:t>informed</w:t>
      </w:r>
      <w:proofErr w:type="spellEnd"/>
      <w:r>
        <w:t xml:space="preserve"> design </w:t>
      </w:r>
      <w:proofErr w:type="spellStart"/>
      <w:r>
        <w:t>choices</w:t>
      </w:r>
      <w:proofErr w:type="spellEnd"/>
      <w:r>
        <w:t xml:space="preserve"> </w:t>
      </w:r>
      <w:proofErr w:type="spellStart"/>
      <w:r>
        <w:t>through</w:t>
      </w:r>
      <w:proofErr w:type="spellEnd"/>
      <w:r>
        <w:t xml:space="preserve"> an </w:t>
      </w:r>
      <w:proofErr w:type="spellStart"/>
      <w:r>
        <w:t>automated</w:t>
      </w:r>
      <w:proofErr w:type="spellEnd"/>
      <w:r>
        <w:t> </w:t>
      </w:r>
      <w:proofErr w:type="spellStart"/>
      <w:r>
        <w:rPr>
          <w:rStyle w:val="Emphasis"/>
          <w:rFonts w:ascii="AmazonEmber" w:hAnsi="AmazonEmber" w:cs="AmazonEmber"/>
        </w:rPr>
        <w:t>physics-informed</w:t>
      </w:r>
      <w:proofErr w:type="spellEnd"/>
      <w:r>
        <w:t> </w:t>
      </w:r>
      <w:proofErr w:type="spellStart"/>
      <w:r>
        <w:t>pipeline</w:t>
      </w:r>
      <w:proofErr w:type="spellEnd"/>
      <w:r>
        <w:t>.</w:t>
      </w:r>
    </w:p>
    <w:sectPr w:rsidR="00AB2FCA" w:rsidRPr="00AB2FCA" w:rsidSect="00F329B8">
      <w:pgSz w:w="11906" w:h="16838" w:code="9"/>
      <w:pgMar w:top="2098" w:right="2126" w:bottom="209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29B8" w:rsidRDefault="00F329B8">
      <w:r>
        <w:separator/>
      </w:r>
    </w:p>
  </w:endnote>
  <w:endnote w:type="continuationSeparator" w:id="0">
    <w:p w:rsidR="00F329B8" w:rsidRDefault="00F3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azonEmber">
    <w:panose1 w:val="020B0603020204020204"/>
    <w:charset w:val="00"/>
    <w:family w:val="swiss"/>
    <w:pitch w:val="variable"/>
    <w:sig w:usb0="A00002EF" w:usb1="5000205B" w:usb2="0000002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29B8" w:rsidRDefault="00F329B8">
      <w:r>
        <w:separator/>
      </w:r>
    </w:p>
  </w:footnote>
  <w:footnote w:type="continuationSeparator" w:id="0">
    <w:p w:rsidR="00F329B8" w:rsidRDefault="00F32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9D6"/>
    <w:multiLevelType w:val="hybridMultilevel"/>
    <w:tmpl w:val="1DA6E4E0"/>
    <w:lvl w:ilvl="0" w:tplc="4B9E4B52">
      <w:start w:val="1"/>
      <w:numFmt w:val="decimal"/>
      <w:pStyle w:val="SectionHeader"/>
      <w:lvlText w:val="%1: "/>
      <w:lvlJc w:val="left"/>
      <w:pPr>
        <w:tabs>
          <w:tab w:val="num" w:pos="397"/>
        </w:tabs>
        <w:ind w:left="397" w:hanging="397"/>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A26364"/>
    <w:multiLevelType w:val="multilevel"/>
    <w:tmpl w:val="FF46DCAC"/>
    <w:lvl w:ilvl="0">
      <w:start w:val="1"/>
      <w:numFmt w:val="decimal"/>
      <w:lvlText w:val="Figure %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660B89"/>
    <w:multiLevelType w:val="hybridMultilevel"/>
    <w:tmpl w:val="970A031A"/>
    <w:lvl w:ilvl="0" w:tplc="5270143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C61A0"/>
    <w:multiLevelType w:val="hybridMultilevel"/>
    <w:tmpl w:val="3BF6DEFA"/>
    <w:lvl w:ilvl="0" w:tplc="D226BADA">
      <w:start w:val="1"/>
      <w:numFmt w:val="decimal"/>
      <w:pStyle w:val="Figure"/>
      <w:lvlText w:val="Figur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1409F5"/>
    <w:multiLevelType w:val="multilevel"/>
    <w:tmpl w:val="0DB4F80E"/>
    <w:lvl w:ilvl="0">
      <w:start w:val="1"/>
      <w:numFmt w:val="decimal"/>
      <w:lvlText w:val="%1: "/>
      <w:lvlJc w:val="left"/>
      <w:pPr>
        <w:tabs>
          <w:tab w:val="num" w:pos="397"/>
        </w:tabs>
        <w:ind w:left="397" w:hanging="397"/>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9A37EC"/>
    <w:multiLevelType w:val="multilevel"/>
    <w:tmpl w:val="73A8584C"/>
    <w:lvl w:ilvl="0">
      <w:start w:val="1"/>
      <w:numFmt w:val="decimal"/>
      <w:lvlText w:val="%1: "/>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79693D"/>
    <w:multiLevelType w:val="hybridMultilevel"/>
    <w:tmpl w:val="5EE28B78"/>
    <w:lvl w:ilvl="0" w:tplc="FBFEE1F0">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1536B"/>
    <w:multiLevelType w:val="hybridMultilevel"/>
    <w:tmpl w:val="FBF0E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C725AC"/>
    <w:multiLevelType w:val="hybridMultilevel"/>
    <w:tmpl w:val="F44EE304"/>
    <w:lvl w:ilvl="0" w:tplc="68248C08">
      <w:start w:val="1"/>
      <w:numFmt w:val="decimal"/>
      <w:pStyle w:val="Tab"/>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551B47"/>
    <w:multiLevelType w:val="hybridMultilevel"/>
    <w:tmpl w:val="850C9374"/>
    <w:lvl w:ilvl="0" w:tplc="52C25448">
      <w:start w:val="1"/>
      <w:numFmt w:val="decimal"/>
      <w:pStyle w:val="Subtitle"/>
      <w:lvlText w:val="Figur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61750"/>
    <w:multiLevelType w:val="multilevel"/>
    <w:tmpl w:val="095C6086"/>
    <w:lvl w:ilvl="0">
      <w:start w:val="1"/>
      <w:numFmt w:val="decimal"/>
      <w:lvlText w:val="%1: "/>
      <w:lvlJc w:val="left"/>
      <w:pPr>
        <w:tabs>
          <w:tab w:val="num" w:pos="73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9AD50C2"/>
    <w:multiLevelType w:val="multilevel"/>
    <w:tmpl w:val="970A0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E267026"/>
    <w:multiLevelType w:val="hybridMultilevel"/>
    <w:tmpl w:val="72106BEA"/>
    <w:lvl w:ilvl="0" w:tplc="BA7803AA">
      <w:start w:val="1"/>
      <w:numFmt w:val="decimal"/>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4657129">
    <w:abstractNumId w:val="2"/>
  </w:num>
  <w:num w:numId="2" w16cid:durableId="2130512087">
    <w:abstractNumId w:val="11"/>
  </w:num>
  <w:num w:numId="3" w16cid:durableId="770317291">
    <w:abstractNumId w:val="3"/>
  </w:num>
  <w:num w:numId="4" w16cid:durableId="165751633">
    <w:abstractNumId w:val="1"/>
  </w:num>
  <w:num w:numId="5" w16cid:durableId="1513564591">
    <w:abstractNumId w:val="0"/>
  </w:num>
  <w:num w:numId="6" w16cid:durableId="914781668">
    <w:abstractNumId w:val="10"/>
  </w:num>
  <w:num w:numId="7" w16cid:durableId="2071683759">
    <w:abstractNumId w:val="5"/>
  </w:num>
  <w:num w:numId="8" w16cid:durableId="43608223">
    <w:abstractNumId w:val="4"/>
  </w:num>
  <w:num w:numId="9" w16cid:durableId="889924132">
    <w:abstractNumId w:val="9"/>
  </w:num>
  <w:num w:numId="10" w16cid:durableId="855078232">
    <w:abstractNumId w:val="12"/>
  </w:num>
  <w:num w:numId="11" w16cid:durableId="368343148">
    <w:abstractNumId w:val="8"/>
  </w:num>
  <w:num w:numId="12" w16cid:durableId="2027829420">
    <w:abstractNumId w:val="6"/>
  </w:num>
  <w:num w:numId="13" w16cid:durableId="2618856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DisplayPageBoundarie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0MQeSZhamQGyspKMUnFpcnJmfB1JgXAsAdgAs4ywAAAA="/>
  </w:docVars>
  <w:rsids>
    <w:rsidRoot w:val="009C382F"/>
    <w:rsid w:val="00025650"/>
    <w:rsid w:val="0004260F"/>
    <w:rsid w:val="000707E1"/>
    <w:rsid w:val="00080A67"/>
    <w:rsid w:val="000B1E2B"/>
    <w:rsid w:val="001018B2"/>
    <w:rsid w:val="00121C2F"/>
    <w:rsid w:val="00131620"/>
    <w:rsid w:val="001328CA"/>
    <w:rsid w:val="00160767"/>
    <w:rsid w:val="00176372"/>
    <w:rsid w:val="00196F9C"/>
    <w:rsid w:val="001A4A05"/>
    <w:rsid w:val="001C06B6"/>
    <w:rsid w:val="001C1BE5"/>
    <w:rsid w:val="001D0404"/>
    <w:rsid w:val="001D1DFB"/>
    <w:rsid w:val="001D4B0C"/>
    <w:rsid w:val="00222560"/>
    <w:rsid w:val="00267461"/>
    <w:rsid w:val="00287CCB"/>
    <w:rsid w:val="002947F3"/>
    <w:rsid w:val="002B0A9C"/>
    <w:rsid w:val="002F7078"/>
    <w:rsid w:val="00313D13"/>
    <w:rsid w:val="00316979"/>
    <w:rsid w:val="00324533"/>
    <w:rsid w:val="00340E6E"/>
    <w:rsid w:val="00377A3F"/>
    <w:rsid w:val="003D49B4"/>
    <w:rsid w:val="00407B2E"/>
    <w:rsid w:val="00466A42"/>
    <w:rsid w:val="00467644"/>
    <w:rsid w:val="004E502E"/>
    <w:rsid w:val="00520BE1"/>
    <w:rsid w:val="0055137A"/>
    <w:rsid w:val="005D132B"/>
    <w:rsid w:val="00602672"/>
    <w:rsid w:val="00611BB8"/>
    <w:rsid w:val="006170DF"/>
    <w:rsid w:val="00634063"/>
    <w:rsid w:val="00665A77"/>
    <w:rsid w:val="0069494B"/>
    <w:rsid w:val="006C59EA"/>
    <w:rsid w:val="006E6933"/>
    <w:rsid w:val="007065BF"/>
    <w:rsid w:val="00722BA4"/>
    <w:rsid w:val="0075591D"/>
    <w:rsid w:val="0077575D"/>
    <w:rsid w:val="00777FE4"/>
    <w:rsid w:val="007A50CA"/>
    <w:rsid w:val="007B7792"/>
    <w:rsid w:val="007C0A8B"/>
    <w:rsid w:val="007C31E5"/>
    <w:rsid w:val="00841B9F"/>
    <w:rsid w:val="008C7C9B"/>
    <w:rsid w:val="008D7DB3"/>
    <w:rsid w:val="008F448B"/>
    <w:rsid w:val="0090691D"/>
    <w:rsid w:val="0095210F"/>
    <w:rsid w:val="00962299"/>
    <w:rsid w:val="00986AE8"/>
    <w:rsid w:val="009B583A"/>
    <w:rsid w:val="009C382F"/>
    <w:rsid w:val="009E499A"/>
    <w:rsid w:val="00A06F96"/>
    <w:rsid w:val="00A80BBF"/>
    <w:rsid w:val="00AB2FCA"/>
    <w:rsid w:val="00AC7551"/>
    <w:rsid w:val="00AE67A4"/>
    <w:rsid w:val="00B263F1"/>
    <w:rsid w:val="00B852F5"/>
    <w:rsid w:val="00B949BF"/>
    <w:rsid w:val="00BA4E22"/>
    <w:rsid w:val="00BD0E17"/>
    <w:rsid w:val="00C341C7"/>
    <w:rsid w:val="00C42C2E"/>
    <w:rsid w:val="00C92321"/>
    <w:rsid w:val="00C93D37"/>
    <w:rsid w:val="00CE41A4"/>
    <w:rsid w:val="00D41D78"/>
    <w:rsid w:val="00D436B1"/>
    <w:rsid w:val="00DC03B4"/>
    <w:rsid w:val="00DD3CD3"/>
    <w:rsid w:val="00E1772C"/>
    <w:rsid w:val="00ED6A62"/>
    <w:rsid w:val="00EF44C3"/>
    <w:rsid w:val="00EF4C6C"/>
    <w:rsid w:val="00F329B8"/>
    <w:rsid w:val="00F355FE"/>
    <w:rsid w:val="00F65D87"/>
    <w:rsid w:val="00F8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DB51D"/>
  <w15:chartTrackingRefBased/>
  <w15:docId w15:val="{D4201E10-ACDB-4750-8140-5D2B8AC4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404"/>
    <w:pPr>
      <w:tabs>
        <w:tab w:val="left" w:pos="567"/>
      </w:tabs>
      <w:spacing w:before="240" w:after="240"/>
    </w:pPr>
    <w:rPr>
      <w:sz w:val="24"/>
      <w:szCs w:val="24"/>
      <w:lang w:eastAsia="en-US"/>
    </w:rPr>
  </w:style>
  <w:style w:type="paragraph" w:styleId="Heading1">
    <w:name w:val="heading 1"/>
    <w:basedOn w:val="Normal"/>
    <w:next w:val="Normal"/>
    <w:link w:val="Heading1Char"/>
    <w:qFormat/>
    <w:rsid w:val="00722BA4"/>
    <w:pPr>
      <w:keepNext/>
      <w:numPr>
        <w:numId w:val="12"/>
      </w:numPr>
      <w:spacing w:after="60"/>
      <w:ind w:left="567" w:hanging="567"/>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D13"/>
    <w:pPr>
      <w:tabs>
        <w:tab w:val="clear" w:pos="567"/>
        <w:tab w:val="center" w:pos="4513"/>
        <w:tab w:val="right" w:pos="9026"/>
      </w:tabs>
    </w:pPr>
  </w:style>
  <w:style w:type="character" w:customStyle="1" w:styleId="HeaderChar">
    <w:name w:val="Header Char"/>
    <w:link w:val="Header"/>
    <w:rsid w:val="00313D13"/>
    <w:rPr>
      <w:rFonts w:ascii="Arial" w:hAnsi="Arial"/>
      <w:sz w:val="24"/>
      <w:szCs w:val="24"/>
      <w:lang w:eastAsia="en-US"/>
    </w:rPr>
  </w:style>
  <w:style w:type="paragraph" w:customStyle="1" w:styleId="PaperTitle">
    <w:name w:val="Paper Title"/>
    <w:basedOn w:val="Normal"/>
    <w:link w:val="PaperTitleChar"/>
    <w:rsid w:val="00313D13"/>
    <w:rPr>
      <w:b/>
      <w:caps/>
      <w:sz w:val="32"/>
    </w:rPr>
  </w:style>
  <w:style w:type="paragraph" w:customStyle="1" w:styleId="Author">
    <w:name w:val="Author"/>
    <w:basedOn w:val="Normal"/>
    <w:rsid w:val="00313D13"/>
    <w:pPr>
      <w:tabs>
        <w:tab w:val="left" w:pos="540"/>
      </w:tabs>
    </w:pPr>
  </w:style>
  <w:style w:type="paragraph" w:customStyle="1" w:styleId="SectionHeader">
    <w:name w:val="Section Header"/>
    <w:next w:val="Normal"/>
    <w:rsid w:val="00313D13"/>
    <w:pPr>
      <w:numPr>
        <w:numId w:val="5"/>
      </w:numPr>
      <w:spacing w:before="240" w:after="240"/>
    </w:pPr>
    <w:rPr>
      <w:rFonts w:ascii="Arial" w:hAnsi="Arial"/>
      <w:b/>
      <w:sz w:val="24"/>
      <w:szCs w:val="24"/>
      <w:lang w:eastAsia="en-US"/>
    </w:rPr>
  </w:style>
  <w:style w:type="paragraph" w:customStyle="1" w:styleId="Figure">
    <w:name w:val="Figure"/>
    <w:next w:val="Normal"/>
    <w:rsid w:val="00313D13"/>
    <w:pPr>
      <w:numPr>
        <w:numId w:val="3"/>
      </w:numPr>
    </w:pPr>
    <w:rPr>
      <w:rFonts w:ascii="Arial" w:hAnsi="Arial"/>
      <w:b/>
      <w:szCs w:val="24"/>
      <w:lang w:eastAsia="en-US"/>
    </w:rPr>
  </w:style>
  <w:style w:type="paragraph" w:styleId="Title">
    <w:name w:val="Title"/>
    <w:basedOn w:val="Normal"/>
    <w:next w:val="Normal"/>
    <w:link w:val="TitleChar"/>
    <w:qFormat/>
    <w:rsid w:val="00722BA4"/>
    <w:pPr>
      <w:spacing w:after="60"/>
      <w:jc w:val="both"/>
      <w:outlineLvl w:val="0"/>
    </w:pPr>
    <w:rPr>
      <w:b/>
      <w:bCs/>
      <w:caps/>
      <w:kern w:val="28"/>
      <w:sz w:val="32"/>
      <w:szCs w:val="32"/>
    </w:rPr>
  </w:style>
  <w:style w:type="character" w:customStyle="1" w:styleId="TitleChar">
    <w:name w:val="Title Char"/>
    <w:link w:val="Title"/>
    <w:rsid w:val="00722BA4"/>
    <w:rPr>
      <w:rFonts w:ascii="Arial" w:eastAsia="Times New Roman" w:hAnsi="Arial" w:cs="Times New Roman"/>
      <w:b/>
      <w:bCs/>
      <w:caps/>
      <w:kern w:val="28"/>
      <w:sz w:val="32"/>
      <w:szCs w:val="32"/>
      <w:lang w:eastAsia="en-US"/>
    </w:rPr>
  </w:style>
  <w:style w:type="character" w:customStyle="1" w:styleId="PaperTitleChar">
    <w:name w:val="Paper Title Char"/>
    <w:link w:val="PaperTitle"/>
    <w:rsid w:val="00313D13"/>
    <w:rPr>
      <w:rFonts w:ascii="Arial" w:hAnsi="Arial"/>
      <w:b/>
      <w:caps/>
      <w:sz w:val="32"/>
      <w:szCs w:val="24"/>
      <w:lang w:eastAsia="en-US"/>
    </w:rPr>
  </w:style>
  <w:style w:type="paragraph" w:styleId="Footer">
    <w:name w:val="footer"/>
    <w:basedOn w:val="Normal"/>
    <w:rsid w:val="000B1E2B"/>
    <w:pPr>
      <w:tabs>
        <w:tab w:val="clear" w:pos="567"/>
        <w:tab w:val="center" w:pos="4320"/>
        <w:tab w:val="right" w:pos="8640"/>
      </w:tabs>
    </w:pPr>
  </w:style>
  <w:style w:type="paragraph" w:styleId="NormalWeb">
    <w:name w:val="Normal (Web)"/>
    <w:basedOn w:val="Normal"/>
    <w:uiPriority w:val="99"/>
    <w:unhideWhenUsed/>
    <w:rsid w:val="000707E1"/>
    <w:pPr>
      <w:tabs>
        <w:tab w:val="clear" w:pos="567"/>
      </w:tabs>
      <w:spacing w:before="100" w:beforeAutospacing="1" w:after="100" w:afterAutospacing="1"/>
    </w:pPr>
    <w:rPr>
      <w:rFonts w:eastAsia="Calibri"/>
      <w:lang w:val="de-DE" w:eastAsia="de-DE"/>
    </w:rPr>
  </w:style>
  <w:style w:type="character" w:styleId="Strong">
    <w:name w:val="Strong"/>
    <w:qFormat/>
    <w:rsid w:val="001D0404"/>
    <w:rPr>
      <w:rFonts w:ascii="Times New Roman" w:hAnsi="Times New Roman"/>
      <w:b/>
      <w:bCs/>
      <w:sz w:val="24"/>
    </w:rPr>
  </w:style>
  <w:style w:type="paragraph" w:styleId="Subtitle">
    <w:name w:val="Subtitle"/>
    <w:aliases w:val="Fig"/>
    <w:basedOn w:val="Normal"/>
    <w:next w:val="Normal"/>
    <w:link w:val="SubtitleChar"/>
    <w:qFormat/>
    <w:rsid w:val="00F65D87"/>
    <w:pPr>
      <w:numPr>
        <w:numId w:val="9"/>
      </w:numPr>
      <w:spacing w:after="60"/>
      <w:jc w:val="center"/>
      <w:outlineLvl w:val="1"/>
    </w:pPr>
    <w:rPr>
      <w:i/>
      <w:sz w:val="20"/>
    </w:rPr>
  </w:style>
  <w:style w:type="character" w:customStyle="1" w:styleId="SubtitleChar">
    <w:name w:val="Subtitle Char"/>
    <w:aliases w:val="Fig Char"/>
    <w:link w:val="Subtitle"/>
    <w:rsid w:val="00F65D87"/>
    <w:rPr>
      <w:rFonts w:ascii="Arial" w:eastAsia="Times New Roman" w:hAnsi="Arial" w:cs="Times New Roman"/>
      <w:i/>
      <w:szCs w:val="24"/>
      <w:lang w:eastAsia="en-US"/>
    </w:rPr>
  </w:style>
  <w:style w:type="character" w:styleId="Emphasis">
    <w:name w:val="Emphasis"/>
    <w:uiPriority w:val="20"/>
    <w:qFormat/>
    <w:rsid w:val="00F65D87"/>
    <w:rPr>
      <w:i/>
      <w:iCs/>
    </w:rPr>
  </w:style>
  <w:style w:type="character" w:styleId="BookTitle">
    <w:name w:val="Book Title"/>
    <w:uiPriority w:val="33"/>
    <w:rsid w:val="00F65D87"/>
    <w:rPr>
      <w:b/>
      <w:bCs/>
      <w:smallCaps/>
      <w:spacing w:val="5"/>
    </w:rPr>
  </w:style>
  <w:style w:type="paragraph" w:customStyle="1" w:styleId="Tab">
    <w:name w:val="Tab"/>
    <w:basedOn w:val="Normal"/>
    <w:next w:val="Normal"/>
    <w:link w:val="TabChar"/>
    <w:qFormat/>
    <w:rsid w:val="00F65D87"/>
    <w:pPr>
      <w:numPr>
        <w:numId w:val="11"/>
      </w:numPr>
      <w:jc w:val="center"/>
    </w:pPr>
    <w:rPr>
      <w:b/>
      <w:sz w:val="20"/>
    </w:rPr>
  </w:style>
  <w:style w:type="character" w:customStyle="1" w:styleId="Heading1Char">
    <w:name w:val="Heading 1 Char"/>
    <w:link w:val="Heading1"/>
    <w:rsid w:val="00722BA4"/>
    <w:rPr>
      <w:rFonts w:ascii="Arial" w:eastAsia="Times New Roman" w:hAnsi="Arial" w:cs="Times New Roman"/>
      <w:b/>
      <w:bCs/>
      <w:kern w:val="32"/>
      <w:sz w:val="24"/>
      <w:szCs w:val="32"/>
      <w:lang w:eastAsia="en-US"/>
    </w:rPr>
  </w:style>
  <w:style w:type="character" w:customStyle="1" w:styleId="TabChar">
    <w:name w:val="Tab Char"/>
    <w:link w:val="Tab"/>
    <w:rsid w:val="00F65D87"/>
    <w:rPr>
      <w:rFonts w:ascii="Arial" w:hAnsi="Arial"/>
      <w:b/>
      <w:szCs w:val="24"/>
      <w:lang w:eastAsia="en-US"/>
    </w:rPr>
  </w:style>
  <w:style w:type="paragraph" w:styleId="Caption">
    <w:name w:val="caption"/>
    <w:basedOn w:val="Normal"/>
    <w:next w:val="Normal"/>
    <w:unhideWhenUsed/>
    <w:qFormat/>
    <w:rsid w:val="00121C2F"/>
    <w:pPr>
      <w:spacing w:before="0" w:after="200"/>
    </w:pPr>
    <w:rPr>
      <w:i/>
      <w:iCs/>
      <w:color w:val="44546A" w:themeColor="text2"/>
      <w:sz w:val="18"/>
      <w:szCs w:val="18"/>
    </w:rPr>
  </w:style>
  <w:style w:type="paragraph" w:styleId="ListParagraph">
    <w:name w:val="List Paragraph"/>
    <w:basedOn w:val="Normal"/>
    <w:uiPriority w:val="34"/>
    <w:qFormat/>
    <w:rsid w:val="00C93D37"/>
    <w:pPr>
      <w:ind w:left="720"/>
      <w:contextualSpacing/>
    </w:pPr>
  </w:style>
  <w:style w:type="character" w:styleId="Hyperlink">
    <w:name w:val="Hyperlink"/>
    <w:basedOn w:val="DefaultParagraphFont"/>
    <w:rsid w:val="00C93D37"/>
    <w:rPr>
      <w:color w:val="0563C1" w:themeColor="hyperlink"/>
      <w:u w:val="single"/>
    </w:rPr>
  </w:style>
  <w:style w:type="character" w:styleId="UnresolvedMention">
    <w:name w:val="Unresolved Mention"/>
    <w:basedOn w:val="DefaultParagraphFont"/>
    <w:uiPriority w:val="99"/>
    <w:semiHidden/>
    <w:unhideWhenUsed/>
    <w:rsid w:val="00C93D37"/>
    <w:rPr>
      <w:color w:val="605E5C"/>
      <w:shd w:val="clear" w:color="auto" w:fill="E1DFDD"/>
    </w:rPr>
  </w:style>
  <w:style w:type="paragraph" w:customStyle="1" w:styleId="wp-caption-text">
    <w:name w:val="wp-caption-text"/>
    <w:basedOn w:val="Normal"/>
    <w:rsid w:val="00AB2FCA"/>
    <w:pPr>
      <w:tabs>
        <w:tab w:val="clear" w:pos="567"/>
      </w:tabs>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aws.amazon.com/neptun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ws.amazon.com/hpc/cfd/" TargetMode="External"/><Relationship Id="rId17" Type="http://schemas.openxmlformats.org/officeDocument/2006/relationships/hyperlink" Target="https://aws.amazon.com/s3/" TargetMode="External"/><Relationship Id="rId2" Type="http://schemas.openxmlformats.org/officeDocument/2006/relationships/numbering" Target="numbering.xml"/><Relationship Id="rId16" Type="http://schemas.openxmlformats.org/officeDocument/2006/relationships/hyperlink" Target="https://aws.amazon.com/batch/" TargetMode="External"/><Relationship Id="rId20"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s.amazon.com/generative-ai/" TargetMode="External"/><Relationship Id="rId5" Type="http://schemas.openxmlformats.org/officeDocument/2006/relationships/webSettings" Target="webSettings.xml"/><Relationship Id="rId15" Type="http://schemas.openxmlformats.org/officeDocument/2006/relationships/hyperlink" Target="https://aws.amazon.com/blogs/hpc/predictive-models-and-simulations-with-twinflow-on-aws/" TargetMode="Externa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orbit.dtu.dk/en/publications/turbulence-and-turbulence-generated-structural-loading-in-wind-tu" TargetMode="External"/><Relationship Id="rId14" Type="http://schemas.openxmlformats.org/officeDocument/2006/relationships/hyperlink" Target="https://github.com/aws-samples/twingraph"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Davenport\Downloads\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334C6-FCFE-0749-B4D0-33AC4D81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 Davenport\Downloads\paper_template.dotx</Template>
  <TotalTime>0</TotalTime>
  <Pages>4</Pages>
  <Words>1212</Words>
  <Characters>6914</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NWC19 - Paper Template</vt:lpstr>
      <vt:lpstr>TITLE OF PAPER – USE “PAPER TITLE” STYLE</vt:lpstr>
    </vt:vector>
  </TitlesOfParts>
  <Company>nafems</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NWC19 - Paper Template</dc:title>
  <dc:subject/>
  <dc:creator>Jo Davenport</dc:creator>
  <cp:keywords/>
  <cp:lastModifiedBy>Ashish Naik</cp:lastModifiedBy>
  <cp:revision>2</cp:revision>
  <dcterms:created xsi:type="dcterms:W3CDTF">2024-05-08T13:47:00Z</dcterms:created>
  <dcterms:modified xsi:type="dcterms:W3CDTF">2024-05-08T13:47:00Z</dcterms:modified>
</cp:coreProperties>
</file>